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left"/>
        <w:rPr>
          <w:rFonts w:hint="eastAsia" w:ascii="方正仿宋_GBK" w:hAnsi="宋体" w:eastAsia="方正仿宋_GBK" w:cs="Times New Roman"/>
          <w:spacing w:val="-3"/>
          <w:sz w:val="32"/>
          <w:szCs w:val="32"/>
        </w:rPr>
      </w:pPr>
      <w:bookmarkStart w:id="0" w:name="bookmark0"/>
      <w:r>
        <w:rPr>
          <w:rFonts w:hint="eastAsia" w:ascii="方正仿宋_GBK" w:hAnsi="宋体" w:eastAsia="方正仿宋_GBK" w:cs="Times New Roman"/>
          <w:spacing w:val="-3"/>
          <w:sz w:val="32"/>
          <w:szCs w:val="32"/>
        </w:rPr>
        <w:t>附件</w:t>
      </w:r>
    </w:p>
    <w:p>
      <w:pPr>
        <w:spacing w:afterLines="50"/>
        <w:jc w:val="center"/>
        <w:rPr>
          <w:rFonts w:ascii="方正小标宋_GBK" w:hAnsi="宋体" w:eastAsia="方正小标宋_GBK" w:cs="Times New Roman"/>
          <w:spacing w:val="-3"/>
          <w:sz w:val="36"/>
          <w:szCs w:val="36"/>
        </w:rPr>
      </w:pPr>
      <w:r>
        <w:rPr>
          <w:rFonts w:hint="eastAsia" w:ascii="方正小标宋_GBK" w:hAnsi="宋体" w:eastAsia="方正小标宋_GBK" w:cs="Times New Roman"/>
          <w:spacing w:val="-3"/>
          <w:sz w:val="36"/>
          <w:szCs w:val="36"/>
        </w:rPr>
        <w:t>风电场利用率计算办法（征求意见稿）</w:t>
      </w:r>
      <w:bookmarkEnd w:id="0"/>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第一条 </w:t>
      </w:r>
      <w:r>
        <w:rPr>
          <w:rFonts w:hint="eastAsia" w:ascii="Times New Roman" w:hAnsi="Times New Roman" w:eastAsia="方正仿宋_GBK" w:cs="Times New Roman"/>
          <w:color w:val="000000" w:themeColor="text1"/>
          <w:sz w:val="30"/>
          <w:szCs w:val="30"/>
        </w:rPr>
        <w:t>为进一步规范和完善风电场受限电量、利用率的计算、统计工作，促进风电消纳和风电行业高质量发展，制定本办法。</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第二条 </w:t>
      </w:r>
      <w:r>
        <w:rPr>
          <w:rFonts w:hint="eastAsia" w:ascii="Times New Roman" w:hAnsi="Times New Roman" w:eastAsia="方正仿宋_GBK" w:cs="Times New Roman"/>
          <w:color w:val="000000" w:themeColor="text1"/>
          <w:sz w:val="30"/>
          <w:szCs w:val="30"/>
        </w:rPr>
        <w:t>本办法适用于全国各级电网</w:t>
      </w:r>
      <w:bookmarkStart w:id="2" w:name="_GoBack"/>
      <w:bookmarkEnd w:id="2"/>
      <w:r>
        <w:rPr>
          <w:rFonts w:hint="eastAsia" w:ascii="Times New Roman" w:hAnsi="Times New Roman" w:eastAsia="方正仿宋_GBK" w:cs="Times New Roman"/>
          <w:color w:val="000000" w:themeColor="text1"/>
          <w:sz w:val="30"/>
          <w:szCs w:val="30"/>
        </w:rPr>
        <w:t>企业及并网风电场。</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第三条 </w:t>
      </w:r>
      <w:r>
        <w:rPr>
          <w:rFonts w:hint="eastAsia" w:ascii="Times New Roman" w:hAnsi="Times New Roman" w:eastAsia="方正仿宋_GBK" w:cs="Times New Roman"/>
          <w:color w:val="000000" w:themeColor="text1"/>
          <w:sz w:val="30"/>
          <w:szCs w:val="30"/>
        </w:rPr>
        <w:t>风电场受限电量是指因风电场自身原因或受外部因素影响可发而未能发出的电量，包括场内原因受限电量和场外原因受限电量。场内原因受限电量指风电场因自身设备故障、缺陷或检修等原因停运而未能发出的电量。场外原因受限电量指因电网传输通道、电力系统调峰（调频）、电力市场交易、电力系统安全稳定运行及气候等因素，风电场可发而未发出的电量。</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本办法计算、统计受限电量针对场外原因受限电量。</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第四条 </w:t>
      </w:r>
      <w:r>
        <w:rPr>
          <w:rFonts w:hint="eastAsia" w:ascii="Times New Roman" w:hAnsi="Times New Roman" w:eastAsia="方正仿宋_GBK" w:cs="Times New Roman"/>
          <w:color w:val="000000" w:themeColor="text1"/>
          <w:sz w:val="30"/>
          <w:szCs w:val="30"/>
        </w:rPr>
        <w:t>风电企业应在风电场开发建设、运行等方面，电网企业应在电网规划建设和调度运行管理等方面，分别落实有效措施，共同促进风电消纳。风电场出力受限时，风电企业和电网企业应相互配合做好受限电量统计工作。</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第五条 </w:t>
      </w:r>
      <w:r>
        <w:rPr>
          <w:rFonts w:hint="eastAsia" w:ascii="Times New Roman" w:hAnsi="Times New Roman" w:eastAsia="方正仿宋_GBK" w:cs="Times New Roman"/>
          <w:bCs/>
          <w:color w:val="000000" w:themeColor="text1"/>
          <w:sz w:val="30"/>
          <w:szCs w:val="30"/>
        </w:rPr>
        <w:t>风电场每日</w:t>
      </w:r>
      <w:r>
        <w:rPr>
          <w:rFonts w:hint="eastAsia" w:ascii="Times New Roman" w:hAnsi="Times New Roman" w:eastAsia="方正仿宋_GBK" w:cs="Times New Roman"/>
          <w:color w:val="000000" w:themeColor="text1"/>
          <w:sz w:val="30"/>
          <w:szCs w:val="30"/>
        </w:rPr>
        <w:t>受限电量按如下公式计算：</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受限电量=受限时段风电场可用机组可发电量－受限时段风电场实发电量</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其中，风电场可用机组可发电量指风电场内除故障、缺陷或检修等风电机组外，剩余可用风电机组在所处自然条件和设备状态下（不考虑电力系统运行因素影响），在相应时间内理论上可发出的电量。</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第六条 </w:t>
      </w:r>
      <w:r>
        <w:rPr>
          <w:rFonts w:hint="eastAsia" w:ascii="Times New Roman" w:hAnsi="Times New Roman" w:eastAsia="方正仿宋_GBK" w:cs="Times New Roman"/>
          <w:color w:val="000000" w:themeColor="text1"/>
          <w:sz w:val="30"/>
          <w:szCs w:val="30"/>
        </w:rPr>
        <w:t>风电受限电量计算方法一般釆用机舱风速法，也可釆用样板机法、测风塔外推法等其他经过验证的计算方法；具体可由风电企业与所属电网调度机构协商确定。</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机舱风速法是指采用风电机组实际风速-功率曲线，通过实测的机舱风速得出风机理论发电功率，进而计算风电场受限电量的方法。样板机法是指根据风电场风机地理位置和地势分布，在选定一定数量“样板机”（一般不超过风电场全部风机数量的10%，“样板机”不限电）基础上，通过“样板机”电量推算得出限电风机理论发电功率，进而计算受限电量的方法。测风塔外推法是在测风塔优化选址基础上，根据风电场所处区域的地形、地貌，采用微观气象学、计算流体力学理论，将测风塔风速、风向推算至风电场每台风机轮毂高度处的风速、风向，并通过风速-功率曲线得出风机理论发电功率，进而计算受限电量的方法。</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第七条 </w:t>
      </w:r>
      <w:r>
        <w:rPr>
          <w:rFonts w:hint="eastAsia" w:ascii="Times New Roman" w:hAnsi="Times New Roman" w:eastAsia="方正仿宋_GBK" w:cs="Times New Roman"/>
          <w:color w:val="000000" w:themeColor="text1"/>
          <w:sz w:val="30"/>
          <w:szCs w:val="30"/>
        </w:rPr>
        <w:t>风电场受限时段是指至少存在一台风电机组处于场外原因受限状态的时段。受限时段以电力调度机构下达限电指令和解除限电指令时间为准，或以调度自动化系统自动控制时段为准。电力调度机构和风电场均应准确记录限电时间、出力限值和原因。</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ascii="Times New Roman" w:hAnsi="Times New Roman" w:eastAsia="黑体" w:cs="Times New Roman"/>
          <w:color w:val="000000" w:themeColor="text1"/>
          <w:sz w:val="30"/>
          <w:szCs w:val="30"/>
        </w:rPr>
        <w:t>第</w:t>
      </w:r>
      <w:r>
        <w:rPr>
          <w:rFonts w:hint="eastAsia" w:ascii="Times New Roman" w:hAnsi="Times New Roman" w:eastAsia="黑体" w:cs="Times New Roman"/>
          <w:color w:val="000000" w:themeColor="text1"/>
          <w:sz w:val="30"/>
          <w:szCs w:val="30"/>
        </w:rPr>
        <w:t>八</w:t>
      </w:r>
      <w:r>
        <w:rPr>
          <w:rFonts w:ascii="Times New Roman" w:hAnsi="Times New Roman" w:eastAsia="黑体" w:cs="Times New Roman"/>
          <w:color w:val="000000" w:themeColor="text1"/>
          <w:sz w:val="30"/>
          <w:szCs w:val="30"/>
        </w:rPr>
        <w:t>条</w:t>
      </w:r>
      <w:r>
        <w:rPr>
          <w:rFonts w:hint="eastAsia" w:ascii="Times New Roman" w:hAnsi="Times New Roman" w:eastAsia="黑体" w:cs="Times New Roman"/>
          <w:color w:val="000000" w:themeColor="text1"/>
          <w:sz w:val="30"/>
          <w:szCs w:val="30"/>
        </w:rPr>
        <w:t xml:space="preserve"> </w:t>
      </w:r>
      <w:r>
        <w:rPr>
          <w:rFonts w:hint="eastAsia" w:ascii="Times New Roman" w:hAnsi="Times New Roman" w:eastAsia="方正仿宋_GBK" w:cs="Times New Roman"/>
          <w:color w:val="000000" w:themeColor="text1"/>
          <w:sz w:val="30"/>
          <w:szCs w:val="30"/>
        </w:rPr>
        <w:t>风电场利用率和地区风电利用率按如下公式计算：</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风电场利用率=风电场实际发电量/（风电场实际发电量</w:t>
      </w:r>
      <w:r>
        <w:rPr>
          <w:rFonts w:ascii="Times New Roman" w:hAnsi="Times New Roman" w:eastAsia="方正仿宋_GBK" w:cs="Times New Roman"/>
          <w:color w:val="000000" w:themeColor="text1"/>
          <w:sz w:val="30"/>
          <w:szCs w:val="30"/>
        </w:rPr>
        <w:t>+</w:t>
      </w:r>
      <w:r>
        <w:rPr>
          <w:rFonts w:hint="eastAsia" w:ascii="Times New Roman" w:hAnsi="Times New Roman" w:eastAsia="方正仿宋_GBK" w:cs="Times New Roman"/>
          <w:color w:val="000000" w:themeColor="text1"/>
          <w:sz w:val="30"/>
          <w:szCs w:val="30"/>
        </w:rPr>
        <w:t>风电场受限电量）</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地区风电利用率=∑风电场实际发电量/∑（风电场实际发电量</w:t>
      </w:r>
      <w:r>
        <w:rPr>
          <w:rFonts w:ascii="Times New Roman" w:hAnsi="Times New Roman" w:eastAsia="方正仿宋_GBK" w:cs="Times New Roman"/>
          <w:color w:val="000000" w:themeColor="text1"/>
          <w:sz w:val="30"/>
          <w:szCs w:val="30"/>
        </w:rPr>
        <w:t>+</w:t>
      </w:r>
      <w:r>
        <w:rPr>
          <w:rFonts w:hint="eastAsia" w:ascii="Times New Roman" w:hAnsi="Times New Roman" w:eastAsia="方正仿宋_GBK" w:cs="Times New Roman"/>
          <w:color w:val="000000" w:themeColor="text1"/>
          <w:sz w:val="30"/>
          <w:szCs w:val="30"/>
        </w:rPr>
        <w:t>风电场受限电量）</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第九条 </w:t>
      </w:r>
      <w:r>
        <w:rPr>
          <w:rFonts w:hint="eastAsia" w:ascii="Times New Roman" w:hAnsi="Times New Roman" w:eastAsia="方正仿宋_GBK" w:cs="Times New Roman"/>
          <w:color w:val="000000" w:themeColor="text1"/>
          <w:sz w:val="30"/>
          <w:szCs w:val="30"/>
        </w:rPr>
        <w:t>风电场发电数据报送以单个风电场为单元。各风电场于每月</w:t>
      </w:r>
      <w:r>
        <w:rPr>
          <w:rFonts w:ascii="Times New Roman" w:hAnsi="Times New Roman" w:eastAsia="方正仿宋_GBK" w:cs="Times New Roman"/>
          <w:color w:val="000000" w:themeColor="text1"/>
          <w:sz w:val="30"/>
          <w:szCs w:val="30"/>
        </w:rPr>
        <w:t>5</w:t>
      </w:r>
      <w:r>
        <w:rPr>
          <w:rFonts w:hint="eastAsia" w:ascii="Times New Roman" w:hAnsi="Times New Roman" w:eastAsia="方正仿宋_GBK" w:cs="Times New Roman"/>
          <w:color w:val="000000" w:themeColor="text1"/>
          <w:sz w:val="30"/>
          <w:szCs w:val="30"/>
        </w:rPr>
        <w:t>日前将风电场</w:t>
      </w:r>
      <w:r>
        <w:rPr>
          <w:rFonts w:ascii="Times New Roman" w:hAnsi="Times New Roman" w:eastAsia="方正仿宋_GBK" w:cs="Times New Roman"/>
          <w:color w:val="000000" w:themeColor="text1"/>
          <w:sz w:val="30"/>
          <w:szCs w:val="30"/>
        </w:rPr>
        <w:t>上</w:t>
      </w:r>
      <w:r>
        <w:rPr>
          <w:rFonts w:hint="eastAsia" w:ascii="Times New Roman" w:hAnsi="Times New Roman" w:eastAsia="方正仿宋_GBK" w:cs="Times New Roman"/>
          <w:color w:val="000000" w:themeColor="text1"/>
          <w:sz w:val="30"/>
          <w:szCs w:val="30"/>
        </w:rPr>
        <w:t>月月度发电信息报表（附表1）报送至相应电力调度机构，同时在国家可再生能源信息管理平台和全国新能源电力消纳监测预警平台填报。</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以下几种情况下风电场发电出力受限在数据报送时单独计列，可不纳入风电场整体受限电量和利用率计算范围：</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（一）自然灾害受限：包括因台风、地震、洪水、覆冰、泥石流等不可抗因素导致的场外受限；</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（二）风电场建设受限：包括风电场处于并网调试阶段或自动发电控制系统（AGC）测试阶段的受限，风电场以临时方案接入系统时输送功率超过线路送电极限时段的受限；</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（三）风电场整改受限：包括风电场因并网技术条件不满足相关标准要求，或依据有关政策规定认定属于违反并网管理要求等原因需进行整改造成的受限；</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（四）场外建设受限：因场外重大工程施工导致风电场受限。</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第十条 </w:t>
      </w:r>
      <w:r>
        <w:rPr>
          <w:rFonts w:hint="eastAsia" w:ascii="Times New Roman" w:hAnsi="Times New Roman" w:eastAsia="方正仿宋_GBK" w:cs="Times New Roman"/>
          <w:color w:val="000000" w:themeColor="text1"/>
          <w:sz w:val="30"/>
          <w:szCs w:val="30"/>
        </w:rPr>
        <w:t>省级电网企业对其调度机构调度范围内风电场每月报送数据进行汇总、整理和分析，在每月</w:t>
      </w:r>
      <w:r>
        <w:rPr>
          <w:rFonts w:ascii="Times New Roman" w:hAnsi="Times New Roman" w:eastAsia="方正仿宋_GBK" w:cs="Times New Roman"/>
          <w:color w:val="000000" w:themeColor="text1"/>
          <w:sz w:val="30"/>
          <w:szCs w:val="30"/>
        </w:rPr>
        <w:t>10</w:t>
      </w:r>
      <w:r>
        <w:rPr>
          <w:rFonts w:hint="eastAsia" w:ascii="Times New Roman" w:hAnsi="Times New Roman" w:eastAsia="方正仿宋_GBK" w:cs="Times New Roman"/>
          <w:color w:val="000000" w:themeColor="text1"/>
          <w:sz w:val="30"/>
          <w:szCs w:val="30"/>
        </w:rPr>
        <w:t>日前向国家能源局当地派出机构报送月度发电信息报表（附表</w:t>
      </w:r>
      <w:r>
        <w:rPr>
          <w:rFonts w:ascii="Times New Roman" w:hAnsi="Times New Roman" w:eastAsia="方正仿宋_GBK" w:cs="Times New Roman"/>
          <w:color w:val="000000" w:themeColor="text1"/>
          <w:sz w:val="30"/>
          <w:szCs w:val="30"/>
        </w:rPr>
        <w:t>2</w:t>
      </w:r>
      <w:r>
        <w:rPr>
          <w:rFonts w:hint="eastAsia" w:ascii="Times New Roman" w:hAnsi="Times New Roman" w:eastAsia="方正仿宋_GBK" w:cs="Times New Roman"/>
          <w:color w:val="000000" w:themeColor="text1"/>
          <w:sz w:val="30"/>
          <w:szCs w:val="30"/>
        </w:rPr>
        <w:t>），同时在国家可再生能源信息管理平台和全国新能源电力消纳监测预警平台填报，并向其调度机构调度范围内各风电场披露。</w:t>
      </w:r>
    </w:p>
    <w:p>
      <w:pPr>
        <w:snapToGrid w:val="0"/>
        <w:spacing w:line="588" w:lineRule="exact"/>
        <w:ind w:firstLine="600" w:firstLineChars="200"/>
        <w:rPr>
          <w:rFonts w:ascii="Times New Roman" w:hAnsi="Times New Roman" w:eastAsia="黑体" w:cs="Times New Roman"/>
          <w:bCs/>
          <w:color w:val="000000" w:themeColor="text1"/>
          <w:sz w:val="30"/>
          <w:szCs w:val="30"/>
        </w:rPr>
      </w:pPr>
      <w:r>
        <w:rPr>
          <w:rFonts w:hint="eastAsia" w:ascii="Times New Roman" w:hAnsi="Times New Roman" w:eastAsia="黑体" w:cs="Times New Roman"/>
          <w:color w:val="000000" w:themeColor="text1"/>
          <w:sz w:val="30"/>
          <w:szCs w:val="30"/>
        </w:rPr>
        <w:t xml:space="preserve">第十一条 </w:t>
      </w:r>
      <w:r>
        <w:rPr>
          <w:rFonts w:hint="eastAsia" w:ascii="Times New Roman" w:hAnsi="Times New Roman" w:eastAsia="方正仿宋_GBK" w:cs="Times New Roman"/>
          <w:color w:val="000000" w:themeColor="text1"/>
          <w:sz w:val="30"/>
          <w:szCs w:val="30"/>
        </w:rPr>
        <w:t>风电场如对省级电网企业每月披露结果存在异议，可及时联系相应电力调度机构进行校验修正，并向电力调度机构提供相关依据；对校验修正结果仍有异议的，可申请国家能源局派出机构组织进一步校核。</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第十二条 </w:t>
      </w:r>
      <w:r>
        <w:rPr>
          <w:rFonts w:hint="eastAsia" w:ascii="Times New Roman" w:hAnsi="Times New Roman" w:eastAsia="方正仿宋_GBK" w:cs="Times New Roman"/>
          <w:color w:val="000000" w:themeColor="text1"/>
          <w:sz w:val="30"/>
          <w:szCs w:val="30"/>
        </w:rPr>
        <w:t>国家能源局派出机构对风电企业、电网企业执行本办法的相关情况开展监督检查，并依照有关法规对违规行为予以处理。</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第十三条 </w:t>
      </w:r>
      <w:r>
        <w:rPr>
          <w:rFonts w:hint="eastAsia" w:ascii="Times New Roman" w:hAnsi="Times New Roman" w:eastAsia="方正仿宋_GBK" w:cs="Times New Roman"/>
          <w:color w:val="000000" w:themeColor="text1"/>
          <w:sz w:val="30"/>
          <w:szCs w:val="30"/>
        </w:rPr>
        <w:t>本办法由国家能源局负责解释。</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第十四条 </w:t>
      </w:r>
      <w:r>
        <w:rPr>
          <w:rFonts w:hint="eastAsia" w:ascii="Times New Roman" w:hAnsi="Times New Roman" w:eastAsia="方正仿宋_GBK" w:cs="Times New Roman"/>
          <w:color w:val="000000" w:themeColor="text1"/>
          <w:sz w:val="30"/>
          <w:szCs w:val="30"/>
        </w:rPr>
        <w:t>国家能源局派出机构可依据本办法制定当地实施细则。</w:t>
      </w:r>
    </w:p>
    <w:p>
      <w:pPr>
        <w:snapToGrid w:val="0"/>
        <w:spacing w:line="588" w:lineRule="exact"/>
        <w:ind w:firstLine="600" w:firstLineChars="200"/>
        <w:rPr>
          <w:rFonts w:ascii="Times New Roman" w:hAnsi="Times New Roman" w:eastAsia="方正仿宋_GBK" w:cs="Times New Roman"/>
          <w:color w:val="000000" w:themeColor="text1"/>
          <w:sz w:val="30"/>
          <w:szCs w:val="30"/>
        </w:rPr>
      </w:pPr>
      <w:r>
        <w:rPr>
          <w:rFonts w:hint="eastAsia" w:ascii="Times New Roman" w:hAnsi="Times New Roman" w:eastAsia="黑体" w:cs="Times New Roman"/>
          <w:bCs/>
          <w:color w:val="000000" w:themeColor="text1"/>
          <w:sz w:val="30"/>
          <w:szCs w:val="30"/>
        </w:rPr>
        <w:t xml:space="preserve">第十五条 </w:t>
      </w:r>
      <w:r>
        <w:rPr>
          <w:rFonts w:hint="eastAsia" w:ascii="Times New Roman" w:hAnsi="Times New Roman" w:eastAsia="方正仿宋_GBK" w:cs="Times New Roman"/>
          <w:color w:val="000000" w:themeColor="text1"/>
          <w:sz w:val="30"/>
          <w:szCs w:val="30"/>
        </w:rPr>
        <w:t>本办法自印发之日起</w:t>
      </w:r>
      <w:r>
        <w:rPr>
          <w:rFonts w:ascii="Times New Roman" w:hAnsi="Times New Roman" w:eastAsia="方正仿宋_GBK" w:cs="Times New Roman"/>
          <w:color w:val="000000" w:themeColor="text1"/>
          <w:sz w:val="30"/>
          <w:szCs w:val="30"/>
        </w:rPr>
        <w:t>执</w:t>
      </w:r>
      <w:r>
        <w:rPr>
          <w:rFonts w:hint="eastAsia" w:ascii="Times New Roman" w:hAnsi="Times New Roman" w:eastAsia="方正仿宋_GBK" w:cs="Times New Roman"/>
          <w:color w:val="000000" w:themeColor="text1"/>
          <w:sz w:val="30"/>
          <w:szCs w:val="30"/>
        </w:rPr>
        <w:t>行，原《风电场弃风电量计算办法（试行）》（办输电〔2012〕154号）同时废止。</w:t>
      </w:r>
    </w:p>
    <w:p>
      <w:pPr>
        <w:snapToGrid w:val="0"/>
        <w:spacing w:line="588" w:lineRule="exact"/>
        <w:ind w:firstLine="600" w:firstLineChars="200"/>
        <w:rPr>
          <w:rFonts w:ascii="Times New Roman" w:hAnsi="Times New Roman" w:eastAsia="方正仿宋_GBK" w:cs="Times New Roman"/>
          <w:color w:val="000000" w:themeColor="text1"/>
          <w:sz w:val="30"/>
          <w:szCs w:val="30"/>
        </w:rPr>
      </w:pPr>
    </w:p>
    <w:p>
      <w:pPr>
        <w:snapToGrid w:val="0"/>
        <w:spacing w:line="588" w:lineRule="exact"/>
        <w:ind w:firstLine="600" w:firstLineChars="200"/>
        <w:rPr>
          <w:rFonts w:ascii="Times New Roman" w:hAnsi="Times New Roman" w:eastAsia="方正仿宋_GBK" w:cs="Times New Roman"/>
          <w:color w:val="000000" w:themeColor="text1"/>
          <w:sz w:val="30"/>
          <w:szCs w:val="30"/>
        </w:rPr>
      </w:pPr>
    </w:p>
    <w:p>
      <w:pPr>
        <w:snapToGrid w:val="0"/>
        <w:spacing w:line="588" w:lineRule="exact"/>
        <w:ind w:firstLine="600" w:firstLineChars="200"/>
        <w:rPr>
          <w:rFonts w:ascii="Times New Roman" w:hAnsi="Times New Roman" w:eastAsia="方正仿宋_GBK" w:cs="Times New Roman"/>
          <w:color w:val="000000" w:themeColor="text1"/>
          <w:sz w:val="30"/>
          <w:szCs w:val="30"/>
        </w:rPr>
        <w:sectPr>
          <w:footerReference r:id="rId3" w:type="default"/>
          <w:pgSz w:w="11906" w:h="16838"/>
          <w:pgMar w:top="1440" w:right="1800" w:bottom="1440" w:left="1800" w:header="851" w:footer="992" w:gutter="0"/>
          <w:cols w:space="425" w:num="1"/>
          <w:docGrid w:type="lines" w:linePitch="312" w:charSpace="0"/>
        </w:sectPr>
      </w:pPr>
    </w:p>
    <w:p>
      <w:pPr>
        <w:snapToGrid w:val="0"/>
        <w:jc w:val="left"/>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附表</w:t>
      </w:r>
      <w:r>
        <w:rPr>
          <w:rFonts w:ascii="Times New Roman" w:hAnsi="Times New Roman" w:eastAsia="方正仿宋_GBK" w:cs="Times New Roman"/>
          <w:color w:val="000000" w:themeColor="text1"/>
          <w:sz w:val="30"/>
          <w:szCs w:val="30"/>
        </w:rPr>
        <w:t>1</w:t>
      </w:r>
      <w:r>
        <w:rPr>
          <w:rFonts w:hint="eastAsia" w:ascii="Times New Roman" w:hAnsi="Times New Roman" w:eastAsia="方正仿宋_GBK" w:cs="Times New Roman"/>
          <w:color w:val="000000" w:themeColor="text1"/>
          <w:sz w:val="30"/>
          <w:szCs w:val="30"/>
        </w:rPr>
        <w:t>：</w:t>
      </w:r>
    </w:p>
    <w:p>
      <w:pPr>
        <w:snapToGrid w:val="0"/>
        <w:spacing w:line="360" w:lineRule="exact"/>
        <w:jc w:val="center"/>
        <w:rPr>
          <w:rFonts w:ascii="方正小标宋_GBK" w:hAnsi="Times New Roman" w:eastAsia="方正小标宋_GBK" w:cs="Times New Roman"/>
          <w:color w:val="000000" w:themeColor="text1"/>
          <w:sz w:val="30"/>
          <w:szCs w:val="30"/>
        </w:rPr>
      </w:pPr>
    </w:p>
    <w:p>
      <w:pPr>
        <w:snapToGrid w:val="0"/>
        <w:spacing w:line="360" w:lineRule="exact"/>
        <w:jc w:val="center"/>
        <w:rPr>
          <w:rFonts w:ascii="方正小标宋_GBK" w:hAnsi="Times New Roman" w:eastAsia="方正小标宋_GBK" w:cs="Times New Roman"/>
          <w:color w:val="000000" w:themeColor="text1"/>
          <w:sz w:val="30"/>
          <w:szCs w:val="30"/>
        </w:rPr>
      </w:pPr>
      <w:r>
        <w:rPr>
          <w:rFonts w:hint="eastAsia" w:ascii="方正小标宋_GBK" w:hAnsi="Times New Roman" w:eastAsia="方正小标宋_GBK" w:cs="Times New Roman"/>
          <w:color w:val="000000" w:themeColor="text1"/>
          <w:sz w:val="30"/>
          <w:szCs w:val="30"/>
        </w:rPr>
        <w:t>XX风电场</w:t>
      </w:r>
      <w:bookmarkStart w:id="1" w:name="_Hlk78806490"/>
      <w:r>
        <w:rPr>
          <w:rFonts w:hint="eastAsia" w:ascii="方正小标宋_GBK" w:hAnsi="Times New Roman" w:eastAsia="方正小标宋_GBK" w:cs="Times New Roman"/>
          <w:color w:val="000000" w:themeColor="text1"/>
          <w:sz w:val="30"/>
          <w:szCs w:val="30"/>
        </w:rPr>
        <w:t>月度发电信息报表</w:t>
      </w:r>
      <w:bookmarkEnd w:id="1"/>
    </w:p>
    <w:p>
      <w:pPr>
        <w:snapToGrid w:val="0"/>
        <w:spacing w:line="360" w:lineRule="exact"/>
        <w:jc w:val="center"/>
        <w:rPr>
          <w:rFonts w:ascii="方正小标宋_GBK" w:hAnsi="Times New Roman" w:eastAsia="方正小标宋_GBK" w:cs="Times New Roman"/>
          <w:color w:val="000000" w:themeColor="text1"/>
          <w:sz w:val="30"/>
          <w:szCs w:val="30"/>
        </w:rPr>
      </w:pPr>
      <w:r>
        <w:rPr>
          <w:rFonts w:hint="eastAsia" w:ascii="方正小标宋_GBK" w:hAnsi="Times New Roman" w:eastAsia="方正小标宋_GBK" w:cs="Times New Roman"/>
          <w:color w:val="000000" w:themeColor="text1"/>
          <w:sz w:val="30"/>
          <w:szCs w:val="30"/>
        </w:rPr>
        <w:t>XX年XX月</w:t>
      </w:r>
    </w:p>
    <w:p>
      <w:pPr>
        <w:snapToGrid w:val="0"/>
        <w:jc w:val="right"/>
        <w:rPr>
          <w:rFonts w:ascii="方正小标宋_GBK" w:hAnsi="Times New Roman" w:eastAsia="方正小标宋_GBK" w:cs="Times New Roman"/>
          <w:color w:val="000000" w:themeColor="text1"/>
          <w:sz w:val="30"/>
          <w:szCs w:val="30"/>
        </w:rPr>
      </w:pPr>
      <w:r>
        <w:rPr>
          <w:rFonts w:hint="eastAsia" w:ascii="Times New Roman" w:hAnsi="Times New Roman" w:eastAsia="方正仿宋_GBK" w:cs="Times New Roman"/>
          <w:color w:val="000000" w:themeColor="text1"/>
          <w:sz w:val="24"/>
          <w:szCs w:val="24"/>
        </w:rPr>
        <w:t>单位：万千瓦时、万千瓦</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7"/>
        <w:gridCol w:w="672"/>
        <w:gridCol w:w="672"/>
        <w:gridCol w:w="672"/>
        <w:gridCol w:w="723"/>
        <w:gridCol w:w="1585"/>
        <w:gridCol w:w="1440"/>
        <w:gridCol w:w="1154"/>
        <w:gridCol w:w="1006"/>
        <w:gridCol w:w="1009"/>
        <w:gridCol w:w="1154"/>
        <w:gridCol w:w="853"/>
        <w:gridCol w:w="1162"/>
        <w:gridCol w:w="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07" w:type="pct"/>
            <w:vMerge w:val="restar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电站名称</w:t>
            </w:r>
          </w:p>
        </w:tc>
        <w:tc>
          <w:tcPr>
            <w:tcW w:w="710" w:type="pct"/>
            <w:gridSpan w:val="3"/>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项目所在地</w:t>
            </w:r>
          </w:p>
        </w:tc>
        <w:tc>
          <w:tcPr>
            <w:tcW w:w="255"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并网容量</w:t>
            </w:r>
          </w:p>
        </w:tc>
        <w:tc>
          <w:tcPr>
            <w:tcW w:w="559"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受限电量所采用计算方法</w:t>
            </w:r>
          </w:p>
        </w:tc>
        <w:tc>
          <w:tcPr>
            <w:tcW w:w="508"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本月可用机组可发电量</w:t>
            </w:r>
          </w:p>
        </w:tc>
        <w:tc>
          <w:tcPr>
            <w:tcW w:w="407"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本月实际发电量</w:t>
            </w:r>
          </w:p>
        </w:tc>
        <w:tc>
          <w:tcPr>
            <w:tcW w:w="355"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本月受限电量</w:t>
            </w:r>
          </w:p>
        </w:tc>
        <w:tc>
          <w:tcPr>
            <w:tcW w:w="356"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主要受限原因</w:t>
            </w:r>
          </w:p>
        </w:tc>
        <w:tc>
          <w:tcPr>
            <w:tcW w:w="407"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本年累计受限电量</w:t>
            </w:r>
          </w:p>
        </w:tc>
        <w:tc>
          <w:tcPr>
            <w:tcW w:w="301"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本月利用率</w:t>
            </w:r>
          </w:p>
        </w:tc>
        <w:tc>
          <w:tcPr>
            <w:tcW w:w="410"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本年累计利用率</w:t>
            </w:r>
          </w:p>
        </w:tc>
        <w:tc>
          <w:tcPr>
            <w:tcW w:w="225"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7"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237" w:type="pc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省</w:t>
            </w:r>
          </w:p>
        </w:tc>
        <w:tc>
          <w:tcPr>
            <w:tcW w:w="237" w:type="pc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市</w:t>
            </w:r>
          </w:p>
        </w:tc>
        <w:tc>
          <w:tcPr>
            <w:tcW w:w="237" w:type="pc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县</w:t>
            </w:r>
          </w:p>
        </w:tc>
        <w:tc>
          <w:tcPr>
            <w:tcW w:w="255"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559"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508"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407"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355" w:type="pct"/>
            <w:vMerge w:val="continue"/>
            <w:vAlign w:val="center"/>
          </w:tcPr>
          <w:p>
            <w:pPr>
              <w:snapToGrid w:val="0"/>
              <w:jc w:val="center"/>
              <w:rPr>
                <w:rFonts w:ascii="Times New Roman" w:hAnsi="Times New Roman" w:eastAsia="方正仿宋_GBK" w:cs="Times New Roman"/>
                <w:b/>
                <w:bCs/>
                <w:color w:val="000000" w:themeColor="text1"/>
                <w:sz w:val="24"/>
                <w:szCs w:val="24"/>
              </w:rPr>
            </w:pPr>
          </w:p>
        </w:tc>
        <w:tc>
          <w:tcPr>
            <w:tcW w:w="356"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407"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301"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410"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225" w:type="pct"/>
            <w:vMerge w:val="continue"/>
            <w:vAlign w:val="center"/>
          </w:tcPr>
          <w:p>
            <w:pPr>
              <w:snapToGrid w:val="0"/>
              <w:jc w:val="center"/>
              <w:rPr>
                <w:rFonts w:ascii="Times New Roman" w:hAnsi="Times New Roman" w:eastAsia="方正仿宋_GBK" w:cs="Times New Roman"/>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507" w:type="pct"/>
            <w:vAlign w:val="center"/>
          </w:tcPr>
          <w:p>
            <w:pPr>
              <w:snapToGrid w:val="0"/>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XX风电场</w:t>
            </w:r>
          </w:p>
        </w:tc>
        <w:tc>
          <w:tcPr>
            <w:tcW w:w="237" w:type="pct"/>
            <w:vAlign w:val="center"/>
          </w:tcPr>
          <w:p>
            <w:pPr>
              <w:snapToGrid w:val="0"/>
              <w:jc w:val="center"/>
              <w:rPr>
                <w:rFonts w:ascii="Times New Roman" w:hAnsi="Times New Roman" w:eastAsia="方正仿宋_GBK" w:cs="Times New Roman"/>
                <w:color w:val="000000" w:themeColor="text1"/>
                <w:sz w:val="24"/>
                <w:szCs w:val="24"/>
              </w:rPr>
            </w:pPr>
          </w:p>
        </w:tc>
        <w:tc>
          <w:tcPr>
            <w:tcW w:w="237" w:type="pct"/>
            <w:vAlign w:val="center"/>
          </w:tcPr>
          <w:p>
            <w:pPr>
              <w:snapToGrid w:val="0"/>
              <w:jc w:val="center"/>
              <w:rPr>
                <w:rFonts w:ascii="Times New Roman" w:hAnsi="Times New Roman" w:eastAsia="方正仿宋_GBK" w:cs="Times New Roman"/>
                <w:color w:val="000000" w:themeColor="text1"/>
                <w:sz w:val="24"/>
                <w:szCs w:val="24"/>
              </w:rPr>
            </w:pPr>
          </w:p>
        </w:tc>
        <w:tc>
          <w:tcPr>
            <w:tcW w:w="237" w:type="pct"/>
            <w:vAlign w:val="center"/>
          </w:tcPr>
          <w:p>
            <w:pPr>
              <w:snapToGrid w:val="0"/>
              <w:jc w:val="center"/>
              <w:rPr>
                <w:rFonts w:ascii="Times New Roman" w:hAnsi="Times New Roman" w:eastAsia="方正仿宋_GBK" w:cs="Times New Roman"/>
                <w:color w:val="000000" w:themeColor="text1"/>
                <w:sz w:val="24"/>
                <w:szCs w:val="24"/>
              </w:rPr>
            </w:pPr>
          </w:p>
        </w:tc>
        <w:tc>
          <w:tcPr>
            <w:tcW w:w="255" w:type="pct"/>
            <w:vAlign w:val="center"/>
          </w:tcPr>
          <w:p>
            <w:pPr>
              <w:snapToGrid w:val="0"/>
              <w:jc w:val="center"/>
              <w:rPr>
                <w:rFonts w:ascii="Times New Roman" w:hAnsi="Times New Roman" w:eastAsia="方正仿宋_GBK" w:cs="Times New Roman"/>
                <w:color w:val="000000" w:themeColor="text1"/>
                <w:sz w:val="24"/>
                <w:szCs w:val="24"/>
              </w:rPr>
            </w:pPr>
          </w:p>
        </w:tc>
        <w:tc>
          <w:tcPr>
            <w:tcW w:w="559" w:type="pct"/>
            <w:vAlign w:val="center"/>
          </w:tcPr>
          <w:p>
            <w:pPr>
              <w:snapToGrid w:val="0"/>
              <w:jc w:val="center"/>
              <w:rPr>
                <w:rFonts w:ascii="Times New Roman" w:hAnsi="Times New Roman" w:eastAsia="方正仿宋_GBK" w:cs="Times New Roman"/>
                <w:color w:val="000000" w:themeColor="text1"/>
                <w:sz w:val="24"/>
                <w:szCs w:val="24"/>
              </w:rPr>
            </w:pPr>
          </w:p>
        </w:tc>
        <w:tc>
          <w:tcPr>
            <w:tcW w:w="508" w:type="pct"/>
            <w:vAlign w:val="center"/>
          </w:tcPr>
          <w:p>
            <w:pPr>
              <w:snapToGrid w:val="0"/>
              <w:jc w:val="center"/>
              <w:rPr>
                <w:rFonts w:ascii="Times New Roman" w:hAnsi="Times New Roman" w:eastAsia="方正仿宋_GBK" w:cs="Times New Roman"/>
                <w:color w:val="000000" w:themeColor="text1"/>
                <w:sz w:val="24"/>
                <w:szCs w:val="24"/>
              </w:rPr>
            </w:pPr>
          </w:p>
        </w:tc>
        <w:tc>
          <w:tcPr>
            <w:tcW w:w="407" w:type="pct"/>
            <w:vAlign w:val="center"/>
          </w:tcPr>
          <w:p>
            <w:pPr>
              <w:snapToGrid w:val="0"/>
              <w:jc w:val="center"/>
              <w:rPr>
                <w:rFonts w:ascii="Times New Roman" w:hAnsi="Times New Roman" w:eastAsia="方正仿宋_GBK" w:cs="Times New Roman"/>
                <w:color w:val="000000" w:themeColor="text1"/>
                <w:sz w:val="24"/>
                <w:szCs w:val="24"/>
              </w:rPr>
            </w:pPr>
          </w:p>
        </w:tc>
        <w:tc>
          <w:tcPr>
            <w:tcW w:w="355" w:type="pct"/>
            <w:vAlign w:val="center"/>
          </w:tcPr>
          <w:p>
            <w:pPr>
              <w:snapToGrid w:val="0"/>
              <w:jc w:val="center"/>
              <w:rPr>
                <w:rFonts w:ascii="Times New Roman" w:hAnsi="Times New Roman" w:eastAsia="方正仿宋_GBK" w:cs="Times New Roman"/>
                <w:color w:val="000000" w:themeColor="text1"/>
                <w:sz w:val="24"/>
                <w:szCs w:val="24"/>
              </w:rPr>
            </w:pPr>
          </w:p>
        </w:tc>
        <w:tc>
          <w:tcPr>
            <w:tcW w:w="356" w:type="pct"/>
            <w:vAlign w:val="center"/>
          </w:tcPr>
          <w:p>
            <w:pPr>
              <w:snapToGrid w:val="0"/>
              <w:jc w:val="center"/>
              <w:rPr>
                <w:rFonts w:ascii="Times New Roman" w:hAnsi="Times New Roman" w:eastAsia="方正仿宋_GBK" w:cs="Times New Roman"/>
                <w:color w:val="000000" w:themeColor="text1"/>
                <w:sz w:val="24"/>
                <w:szCs w:val="24"/>
              </w:rPr>
            </w:pPr>
          </w:p>
        </w:tc>
        <w:tc>
          <w:tcPr>
            <w:tcW w:w="407" w:type="pct"/>
            <w:vAlign w:val="center"/>
          </w:tcPr>
          <w:p>
            <w:pPr>
              <w:snapToGrid w:val="0"/>
              <w:jc w:val="center"/>
              <w:rPr>
                <w:rFonts w:ascii="Times New Roman" w:hAnsi="Times New Roman" w:eastAsia="方正仿宋_GBK" w:cs="Times New Roman"/>
                <w:color w:val="000000" w:themeColor="text1"/>
                <w:sz w:val="24"/>
                <w:szCs w:val="24"/>
              </w:rPr>
            </w:pPr>
          </w:p>
        </w:tc>
        <w:tc>
          <w:tcPr>
            <w:tcW w:w="301" w:type="pct"/>
            <w:vAlign w:val="center"/>
          </w:tcPr>
          <w:p>
            <w:pPr>
              <w:snapToGrid w:val="0"/>
              <w:jc w:val="center"/>
              <w:rPr>
                <w:rFonts w:ascii="Times New Roman" w:hAnsi="Times New Roman" w:eastAsia="方正仿宋_GBK" w:cs="Times New Roman"/>
                <w:color w:val="000000" w:themeColor="text1"/>
                <w:sz w:val="24"/>
                <w:szCs w:val="24"/>
              </w:rPr>
            </w:pPr>
          </w:p>
        </w:tc>
        <w:tc>
          <w:tcPr>
            <w:tcW w:w="410" w:type="pct"/>
            <w:vAlign w:val="center"/>
          </w:tcPr>
          <w:p>
            <w:pPr>
              <w:snapToGrid w:val="0"/>
              <w:jc w:val="center"/>
              <w:rPr>
                <w:rFonts w:ascii="Times New Roman" w:hAnsi="Times New Roman" w:eastAsia="方正仿宋_GBK" w:cs="Times New Roman"/>
                <w:color w:val="000000" w:themeColor="text1"/>
                <w:sz w:val="24"/>
                <w:szCs w:val="24"/>
              </w:rPr>
            </w:pPr>
          </w:p>
        </w:tc>
        <w:tc>
          <w:tcPr>
            <w:tcW w:w="225" w:type="pct"/>
            <w:vAlign w:val="center"/>
          </w:tcPr>
          <w:p>
            <w:pPr>
              <w:snapToGrid w:val="0"/>
              <w:jc w:val="center"/>
              <w:rPr>
                <w:rFonts w:ascii="Times New Roman" w:hAnsi="Times New Roman" w:eastAsia="方正仿宋_GBK" w:cs="Times New Roman"/>
                <w:color w:val="000000" w:themeColor="text1"/>
                <w:sz w:val="24"/>
                <w:szCs w:val="24"/>
              </w:rPr>
            </w:pPr>
          </w:p>
        </w:tc>
      </w:tr>
    </w:tbl>
    <w:p>
      <w:r>
        <w:rPr>
          <w:rFonts w:hint="eastAsia"/>
        </w:rPr>
        <w:t>注：主要受限原因可根据本办法第三条和第九条所述原因择要填写</w:t>
      </w:r>
      <w:r>
        <w:t>。</w:t>
      </w:r>
    </w:p>
    <w:p/>
    <w:p>
      <w:pPr>
        <w:widowControl/>
        <w:jc w:val="left"/>
        <w:rPr>
          <w:rFonts w:ascii="Times New Roman" w:hAnsi="Times New Roman" w:eastAsia="方正仿宋_GBK" w:cs="Times New Roman"/>
          <w:color w:val="000000" w:themeColor="text1"/>
          <w:sz w:val="30"/>
          <w:szCs w:val="30"/>
        </w:rPr>
      </w:pPr>
      <w:r>
        <w:rPr>
          <w:rFonts w:ascii="Times New Roman" w:hAnsi="Times New Roman" w:eastAsia="方正仿宋_GBK" w:cs="Times New Roman"/>
          <w:color w:val="000000" w:themeColor="text1"/>
          <w:sz w:val="30"/>
          <w:szCs w:val="30"/>
        </w:rPr>
        <w:br w:type="page"/>
      </w:r>
    </w:p>
    <w:p>
      <w:pPr>
        <w:snapToGrid w:val="0"/>
        <w:jc w:val="left"/>
        <w:rPr>
          <w:rFonts w:ascii="Times New Roman" w:hAnsi="Times New Roman" w:eastAsia="方正仿宋_GBK" w:cs="Times New Roman"/>
          <w:color w:val="000000" w:themeColor="text1"/>
          <w:sz w:val="30"/>
          <w:szCs w:val="30"/>
        </w:rPr>
      </w:pPr>
      <w:r>
        <w:rPr>
          <w:rFonts w:hint="eastAsia" w:ascii="Times New Roman" w:hAnsi="Times New Roman" w:eastAsia="方正仿宋_GBK" w:cs="Times New Roman"/>
          <w:color w:val="000000" w:themeColor="text1"/>
          <w:sz w:val="30"/>
          <w:szCs w:val="30"/>
        </w:rPr>
        <w:t>附表</w:t>
      </w:r>
      <w:r>
        <w:rPr>
          <w:rFonts w:ascii="Times New Roman" w:hAnsi="Times New Roman" w:eastAsia="方正仿宋_GBK" w:cs="Times New Roman"/>
          <w:color w:val="000000" w:themeColor="text1"/>
          <w:sz w:val="30"/>
          <w:szCs w:val="30"/>
        </w:rPr>
        <w:t>2</w:t>
      </w:r>
      <w:r>
        <w:rPr>
          <w:rFonts w:hint="eastAsia" w:ascii="Times New Roman" w:hAnsi="Times New Roman" w:eastAsia="方正仿宋_GBK" w:cs="Times New Roman"/>
          <w:color w:val="000000" w:themeColor="text1"/>
          <w:sz w:val="30"/>
          <w:szCs w:val="30"/>
        </w:rPr>
        <w:t>：</w:t>
      </w:r>
    </w:p>
    <w:p>
      <w:pPr>
        <w:snapToGrid w:val="0"/>
        <w:spacing w:line="360" w:lineRule="exact"/>
        <w:jc w:val="center"/>
        <w:rPr>
          <w:rFonts w:ascii="方正小标宋_GBK" w:hAnsi="Times New Roman" w:eastAsia="方正小标宋_GBK" w:cs="Times New Roman"/>
          <w:color w:val="000000" w:themeColor="text1"/>
          <w:sz w:val="30"/>
          <w:szCs w:val="30"/>
        </w:rPr>
      </w:pPr>
    </w:p>
    <w:p>
      <w:pPr>
        <w:snapToGrid w:val="0"/>
        <w:spacing w:line="360" w:lineRule="exact"/>
        <w:jc w:val="center"/>
        <w:rPr>
          <w:rFonts w:ascii="方正小标宋_GBK" w:hAnsi="Times New Roman" w:eastAsia="方正小标宋_GBK" w:cs="Times New Roman"/>
          <w:color w:val="000000" w:themeColor="text1"/>
          <w:sz w:val="30"/>
          <w:szCs w:val="30"/>
        </w:rPr>
      </w:pPr>
      <w:r>
        <w:rPr>
          <w:rFonts w:hint="eastAsia" w:ascii="方正小标宋_GBK" w:hAnsi="Times New Roman" w:eastAsia="方正小标宋_GBK" w:cs="Times New Roman"/>
          <w:color w:val="000000" w:themeColor="text1"/>
          <w:sz w:val="30"/>
          <w:szCs w:val="30"/>
        </w:rPr>
        <w:t>XX省（区、市）风电月度发电信息报表</w:t>
      </w:r>
    </w:p>
    <w:p>
      <w:pPr>
        <w:snapToGrid w:val="0"/>
        <w:spacing w:line="360" w:lineRule="exact"/>
        <w:jc w:val="center"/>
        <w:rPr>
          <w:rFonts w:ascii="方正小标宋_GBK" w:hAnsi="Times New Roman" w:eastAsia="方正小标宋_GBK" w:cs="Times New Roman"/>
          <w:color w:val="000000" w:themeColor="text1"/>
          <w:sz w:val="30"/>
          <w:szCs w:val="30"/>
        </w:rPr>
      </w:pPr>
      <w:r>
        <w:rPr>
          <w:rFonts w:hint="eastAsia" w:ascii="方正小标宋_GBK" w:hAnsi="Times New Roman" w:eastAsia="方正小标宋_GBK" w:cs="Times New Roman"/>
          <w:color w:val="000000" w:themeColor="text1"/>
          <w:sz w:val="30"/>
          <w:szCs w:val="30"/>
        </w:rPr>
        <w:t>XX年XX月</w:t>
      </w:r>
    </w:p>
    <w:p>
      <w:pPr>
        <w:snapToGrid w:val="0"/>
        <w:jc w:val="right"/>
        <w:rPr>
          <w:rFonts w:ascii="方正小标宋_GBK" w:hAnsi="Times New Roman" w:eastAsia="方正小标宋_GBK" w:cs="Times New Roman"/>
          <w:color w:val="000000" w:themeColor="text1"/>
          <w:sz w:val="30"/>
          <w:szCs w:val="30"/>
        </w:rPr>
      </w:pPr>
      <w:r>
        <w:rPr>
          <w:rFonts w:hint="eastAsia" w:ascii="Times New Roman" w:hAnsi="Times New Roman" w:eastAsia="方正仿宋_GBK" w:cs="Times New Roman"/>
          <w:color w:val="000000" w:themeColor="text1"/>
          <w:sz w:val="24"/>
          <w:szCs w:val="24"/>
        </w:rPr>
        <w:t>单位：万千瓦时、万千瓦</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1440"/>
        <w:gridCol w:w="576"/>
        <w:gridCol w:w="576"/>
        <w:gridCol w:w="578"/>
        <w:gridCol w:w="720"/>
        <w:gridCol w:w="1585"/>
        <w:gridCol w:w="1299"/>
        <w:gridCol w:w="1154"/>
        <w:gridCol w:w="1007"/>
        <w:gridCol w:w="1026"/>
        <w:gridCol w:w="1134"/>
        <w:gridCol w:w="814"/>
        <w:gridCol w:w="1100"/>
        <w:gridCol w:w="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01"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序号</w:t>
            </w:r>
          </w:p>
        </w:tc>
        <w:tc>
          <w:tcPr>
            <w:tcW w:w="508"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电站名称</w:t>
            </w:r>
          </w:p>
        </w:tc>
        <w:tc>
          <w:tcPr>
            <w:tcW w:w="610" w:type="pct"/>
            <w:gridSpan w:val="3"/>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项目所在地</w:t>
            </w:r>
          </w:p>
        </w:tc>
        <w:tc>
          <w:tcPr>
            <w:tcW w:w="254"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并网容量</w:t>
            </w:r>
          </w:p>
        </w:tc>
        <w:tc>
          <w:tcPr>
            <w:tcW w:w="559"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受限电量所采用计算方法</w:t>
            </w:r>
          </w:p>
        </w:tc>
        <w:tc>
          <w:tcPr>
            <w:tcW w:w="458"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本月可用机组可发电量</w:t>
            </w:r>
          </w:p>
        </w:tc>
        <w:tc>
          <w:tcPr>
            <w:tcW w:w="407"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本月实际发电量</w:t>
            </w:r>
          </w:p>
        </w:tc>
        <w:tc>
          <w:tcPr>
            <w:tcW w:w="355" w:type="pct"/>
            <w:vMerge w:val="restar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本月受限电量</w:t>
            </w:r>
          </w:p>
        </w:tc>
        <w:tc>
          <w:tcPr>
            <w:tcW w:w="362"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主要受限原因</w:t>
            </w:r>
          </w:p>
        </w:tc>
        <w:tc>
          <w:tcPr>
            <w:tcW w:w="400"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本年累计受限电量</w:t>
            </w:r>
          </w:p>
        </w:tc>
        <w:tc>
          <w:tcPr>
            <w:tcW w:w="287"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本月利用率</w:t>
            </w:r>
          </w:p>
        </w:tc>
        <w:tc>
          <w:tcPr>
            <w:tcW w:w="388"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本年累计利用率</w:t>
            </w:r>
          </w:p>
        </w:tc>
        <w:tc>
          <w:tcPr>
            <w:tcW w:w="210" w:type="pct"/>
            <w:vMerge w:val="restart"/>
            <w:vAlign w:val="center"/>
          </w:tcPr>
          <w:p>
            <w:pPr>
              <w:snapToGrid w:val="0"/>
              <w:ind w:left="-109" w:leftChars="-52" w:right="-42" w:rightChars="-2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201"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508"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203" w:type="pc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省</w:t>
            </w:r>
          </w:p>
        </w:tc>
        <w:tc>
          <w:tcPr>
            <w:tcW w:w="203" w:type="pc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市</w:t>
            </w:r>
          </w:p>
        </w:tc>
        <w:tc>
          <w:tcPr>
            <w:tcW w:w="204" w:type="pct"/>
            <w:vAlign w:val="center"/>
          </w:tcPr>
          <w:p>
            <w:pPr>
              <w:snapToGrid w:val="0"/>
              <w:jc w:val="center"/>
              <w:rPr>
                <w:rFonts w:ascii="Times New Roman" w:hAnsi="Times New Roman" w:eastAsia="方正仿宋_GBK" w:cs="Times New Roman"/>
                <w:b/>
                <w:bCs/>
                <w:color w:val="000000" w:themeColor="text1"/>
                <w:sz w:val="24"/>
                <w:szCs w:val="24"/>
              </w:rPr>
            </w:pPr>
            <w:r>
              <w:rPr>
                <w:rFonts w:hint="eastAsia" w:ascii="Times New Roman" w:hAnsi="Times New Roman" w:eastAsia="方正仿宋_GBK" w:cs="Times New Roman"/>
                <w:b/>
                <w:bCs/>
                <w:color w:val="000000" w:themeColor="text1"/>
                <w:sz w:val="24"/>
                <w:szCs w:val="24"/>
              </w:rPr>
              <w:t>县</w:t>
            </w:r>
          </w:p>
        </w:tc>
        <w:tc>
          <w:tcPr>
            <w:tcW w:w="254"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559"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458"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407"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355" w:type="pct"/>
            <w:vMerge w:val="continue"/>
            <w:vAlign w:val="center"/>
          </w:tcPr>
          <w:p>
            <w:pPr>
              <w:snapToGrid w:val="0"/>
              <w:jc w:val="center"/>
              <w:rPr>
                <w:rFonts w:ascii="Times New Roman" w:hAnsi="Times New Roman" w:eastAsia="方正仿宋_GBK" w:cs="Times New Roman"/>
                <w:b/>
                <w:bCs/>
                <w:color w:val="000000" w:themeColor="text1"/>
                <w:sz w:val="24"/>
                <w:szCs w:val="24"/>
              </w:rPr>
            </w:pPr>
          </w:p>
        </w:tc>
        <w:tc>
          <w:tcPr>
            <w:tcW w:w="362"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400"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287"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388" w:type="pct"/>
            <w:vMerge w:val="continue"/>
            <w:vAlign w:val="center"/>
          </w:tcPr>
          <w:p>
            <w:pPr>
              <w:snapToGrid w:val="0"/>
              <w:jc w:val="center"/>
              <w:rPr>
                <w:rFonts w:ascii="Times New Roman" w:hAnsi="Times New Roman" w:eastAsia="方正仿宋_GBK" w:cs="Times New Roman"/>
                <w:color w:val="000000" w:themeColor="text1"/>
                <w:sz w:val="24"/>
                <w:szCs w:val="24"/>
              </w:rPr>
            </w:pPr>
          </w:p>
        </w:tc>
        <w:tc>
          <w:tcPr>
            <w:tcW w:w="210" w:type="pct"/>
            <w:vMerge w:val="continue"/>
            <w:vAlign w:val="center"/>
          </w:tcPr>
          <w:p>
            <w:pPr>
              <w:snapToGrid w:val="0"/>
              <w:jc w:val="center"/>
              <w:rPr>
                <w:rFonts w:ascii="Times New Roman" w:hAnsi="Times New Roman" w:eastAsia="方正仿宋_GBK" w:cs="Times New Roman"/>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 w:type="pct"/>
            <w:vAlign w:val="center"/>
          </w:tcPr>
          <w:p>
            <w:pPr>
              <w:snapToGrid w:val="0"/>
              <w:ind w:left="-109" w:leftChars="-52" w:right="-48" w:rightChars="-23"/>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1</w:t>
            </w:r>
          </w:p>
        </w:tc>
        <w:tc>
          <w:tcPr>
            <w:tcW w:w="508" w:type="pct"/>
            <w:vAlign w:val="center"/>
          </w:tcPr>
          <w:p>
            <w:pPr>
              <w:snapToGrid w:val="0"/>
              <w:ind w:left="-109" w:leftChars="-52" w:right="-103" w:rightChars="-49"/>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XX风电场</w:t>
            </w:r>
          </w:p>
        </w:tc>
        <w:tc>
          <w:tcPr>
            <w:tcW w:w="203" w:type="pct"/>
            <w:vAlign w:val="center"/>
          </w:tcPr>
          <w:p>
            <w:pPr>
              <w:snapToGrid w:val="0"/>
              <w:jc w:val="center"/>
              <w:rPr>
                <w:rFonts w:ascii="Times New Roman" w:hAnsi="Times New Roman" w:eastAsia="方正仿宋_GBK" w:cs="Times New Roman"/>
                <w:color w:val="000000" w:themeColor="text1"/>
                <w:sz w:val="24"/>
                <w:szCs w:val="24"/>
              </w:rPr>
            </w:pPr>
          </w:p>
        </w:tc>
        <w:tc>
          <w:tcPr>
            <w:tcW w:w="203" w:type="pct"/>
            <w:vAlign w:val="center"/>
          </w:tcPr>
          <w:p>
            <w:pPr>
              <w:snapToGrid w:val="0"/>
              <w:jc w:val="center"/>
              <w:rPr>
                <w:rFonts w:ascii="Times New Roman" w:hAnsi="Times New Roman" w:eastAsia="方正仿宋_GBK" w:cs="Times New Roman"/>
                <w:color w:val="000000" w:themeColor="text1"/>
                <w:sz w:val="24"/>
                <w:szCs w:val="24"/>
              </w:rPr>
            </w:pPr>
          </w:p>
        </w:tc>
        <w:tc>
          <w:tcPr>
            <w:tcW w:w="204" w:type="pct"/>
            <w:vAlign w:val="center"/>
          </w:tcPr>
          <w:p>
            <w:pPr>
              <w:snapToGrid w:val="0"/>
              <w:jc w:val="center"/>
              <w:rPr>
                <w:rFonts w:ascii="Times New Roman" w:hAnsi="Times New Roman" w:eastAsia="方正仿宋_GBK" w:cs="Times New Roman"/>
                <w:color w:val="000000" w:themeColor="text1"/>
                <w:sz w:val="24"/>
                <w:szCs w:val="24"/>
              </w:rPr>
            </w:pPr>
          </w:p>
        </w:tc>
        <w:tc>
          <w:tcPr>
            <w:tcW w:w="254" w:type="pct"/>
            <w:vAlign w:val="center"/>
          </w:tcPr>
          <w:p>
            <w:pPr>
              <w:snapToGrid w:val="0"/>
              <w:jc w:val="center"/>
              <w:rPr>
                <w:rFonts w:ascii="Times New Roman" w:hAnsi="Times New Roman" w:eastAsia="方正仿宋_GBK" w:cs="Times New Roman"/>
                <w:color w:val="000000" w:themeColor="text1"/>
                <w:sz w:val="24"/>
                <w:szCs w:val="24"/>
              </w:rPr>
            </w:pPr>
          </w:p>
        </w:tc>
        <w:tc>
          <w:tcPr>
            <w:tcW w:w="559" w:type="pct"/>
            <w:vAlign w:val="center"/>
          </w:tcPr>
          <w:p>
            <w:pPr>
              <w:snapToGrid w:val="0"/>
              <w:jc w:val="center"/>
              <w:rPr>
                <w:rFonts w:ascii="Times New Roman" w:hAnsi="Times New Roman" w:eastAsia="方正仿宋_GBK" w:cs="Times New Roman"/>
                <w:color w:val="000000" w:themeColor="text1"/>
                <w:sz w:val="24"/>
                <w:szCs w:val="24"/>
              </w:rPr>
            </w:pPr>
          </w:p>
        </w:tc>
        <w:tc>
          <w:tcPr>
            <w:tcW w:w="458" w:type="pct"/>
            <w:vAlign w:val="center"/>
          </w:tcPr>
          <w:p>
            <w:pPr>
              <w:snapToGrid w:val="0"/>
              <w:jc w:val="center"/>
              <w:rPr>
                <w:rFonts w:ascii="Times New Roman" w:hAnsi="Times New Roman" w:eastAsia="方正仿宋_GBK" w:cs="Times New Roman"/>
                <w:color w:val="000000" w:themeColor="text1"/>
                <w:sz w:val="24"/>
                <w:szCs w:val="24"/>
              </w:rPr>
            </w:pPr>
          </w:p>
        </w:tc>
        <w:tc>
          <w:tcPr>
            <w:tcW w:w="407" w:type="pct"/>
            <w:vAlign w:val="center"/>
          </w:tcPr>
          <w:p>
            <w:pPr>
              <w:snapToGrid w:val="0"/>
              <w:jc w:val="center"/>
              <w:rPr>
                <w:rFonts w:ascii="Times New Roman" w:hAnsi="Times New Roman" w:eastAsia="方正仿宋_GBK" w:cs="Times New Roman"/>
                <w:color w:val="000000" w:themeColor="text1"/>
                <w:sz w:val="24"/>
                <w:szCs w:val="24"/>
              </w:rPr>
            </w:pPr>
          </w:p>
        </w:tc>
        <w:tc>
          <w:tcPr>
            <w:tcW w:w="355" w:type="pct"/>
            <w:vAlign w:val="center"/>
          </w:tcPr>
          <w:p>
            <w:pPr>
              <w:snapToGrid w:val="0"/>
              <w:jc w:val="center"/>
              <w:rPr>
                <w:rFonts w:ascii="仿宋_GB2312" w:hAnsi="黑体" w:eastAsia="仿宋_GB2312" w:cs="宋体"/>
                <w:kern w:val="0"/>
                <w:sz w:val="24"/>
                <w:szCs w:val="20"/>
              </w:rPr>
            </w:pPr>
          </w:p>
        </w:tc>
        <w:tc>
          <w:tcPr>
            <w:tcW w:w="362" w:type="pct"/>
            <w:vAlign w:val="center"/>
          </w:tcPr>
          <w:p>
            <w:pPr>
              <w:snapToGrid w:val="0"/>
              <w:jc w:val="center"/>
              <w:rPr>
                <w:rFonts w:ascii="Times New Roman" w:hAnsi="Times New Roman" w:eastAsia="方正仿宋_GBK" w:cs="Times New Roman"/>
                <w:color w:val="000000" w:themeColor="text1"/>
                <w:sz w:val="24"/>
                <w:szCs w:val="24"/>
              </w:rPr>
            </w:pPr>
          </w:p>
        </w:tc>
        <w:tc>
          <w:tcPr>
            <w:tcW w:w="400" w:type="pct"/>
            <w:vAlign w:val="center"/>
          </w:tcPr>
          <w:p>
            <w:pPr>
              <w:snapToGrid w:val="0"/>
              <w:jc w:val="center"/>
              <w:rPr>
                <w:rFonts w:ascii="Times New Roman" w:hAnsi="Times New Roman" w:eastAsia="方正仿宋_GBK" w:cs="Times New Roman"/>
                <w:color w:val="000000" w:themeColor="text1"/>
                <w:sz w:val="24"/>
                <w:szCs w:val="24"/>
              </w:rPr>
            </w:pPr>
          </w:p>
        </w:tc>
        <w:tc>
          <w:tcPr>
            <w:tcW w:w="287" w:type="pct"/>
            <w:vAlign w:val="center"/>
          </w:tcPr>
          <w:p>
            <w:pPr>
              <w:snapToGrid w:val="0"/>
              <w:jc w:val="center"/>
              <w:rPr>
                <w:rFonts w:ascii="Times New Roman" w:hAnsi="Times New Roman" w:eastAsia="方正仿宋_GBK" w:cs="Times New Roman"/>
                <w:color w:val="000000" w:themeColor="text1"/>
                <w:sz w:val="24"/>
                <w:szCs w:val="24"/>
              </w:rPr>
            </w:pPr>
          </w:p>
        </w:tc>
        <w:tc>
          <w:tcPr>
            <w:tcW w:w="388" w:type="pct"/>
            <w:vAlign w:val="center"/>
          </w:tcPr>
          <w:p>
            <w:pPr>
              <w:snapToGrid w:val="0"/>
              <w:jc w:val="center"/>
              <w:rPr>
                <w:rFonts w:ascii="Times New Roman" w:hAnsi="Times New Roman" w:eastAsia="方正仿宋_GBK" w:cs="Times New Roman"/>
                <w:color w:val="000000" w:themeColor="text1"/>
                <w:sz w:val="24"/>
                <w:szCs w:val="24"/>
              </w:rPr>
            </w:pPr>
          </w:p>
        </w:tc>
        <w:tc>
          <w:tcPr>
            <w:tcW w:w="210" w:type="pct"/>
            <w:vAlign w:val="center"/>
          </w:tcPr>
          <w:p>
            <w:pPr>
              <w:snapToGrid w:val="0"/>
              <w:jc w:val="center"/>
              <w:rPr>
                <w:rFonts w:ascii="Times New Roman" w:hAnsi="Times New Roman" w:eastAsia="方正仿宋_GBK" w:cs="Times New Roman"/>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 w:type="pct"/>
            <w:vAlign w:val="center"/>
          </w:tcPr>
          <w:p>
            <w:pPr>
              <w:snapToGrid w:val="0"/>
              <w:ind w:left="-109" w:leftChars="-52" w:right="-48" w:rightChars="-23"/>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2</w:t>
            </w:r>
          </w:p>
        </w:tc>
        <w:tc>
          <w:tcPr>
            <w:tcW w:w="508" w:type="pct"/>
            <w:vAlign w:val="center"/>
          </w:tcPr>
          <w:p>
            <w:pPr>
              <w:snapToGrid w:val="0"/>
              <w:ind w:left="-109" w:leftChars="-52" w:right="-103" w:rightChars="-49"/>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XX风电场</w:t>
            </w:r>
          </w:p>
        </w:tc>
        <w:tc>
          <w:tcPr>
            <w:tcW w:w="203" w:type="pct"/>
            <w:vAlign w:val="center"/>
          </w:tcPr>
          <w:p>
            <w:pPr>
              <w:snapToGrid w:val="0"/>
              <w:jc w:val="center"/>
              <w:rPr>
                <w:rFonts w:ascii="Times New Roman" w:hAnsi="Times New Roman" w:eastAsia="方正仿宋_GBK" w:cs="Times New Roman"/>
                <w:color w:val="000000" w:themeColor="text1"/>
                <w:sz w:val="24"/>
                <w:szCs w:val="24"/>
              </w:rPr>
            </w:pPr>
          </w:p>
        </w:tc>
        <w:tc>
          <w:tcPr>
            <w:tcW w:w="203" w:type="pct"/>
            <w:vAlign w:val="center"/>
          </w:tcPr>
          <w:p>
            <w:pPr>
              <w:snapToGrid w:val="0"/>
              <w:jc w:val="center"/>
              <w:rPr>
                <w:rFonts w:ascii="Times New Roman" w:hAnsi="Times New Roman" w:eastAsia="方正仿宋_GBK" w:cs="Times New Roman"/>
                <w:color w:val="000000" w:themeColor="text1"/>
                <w:sz w:val="24"/>
                <w:szCs w:val="24"/>
              </w:rPr>
            </w:pPr>
          </w:p>
        </w:tc>
        <w:tc>
          <w:tcPr>
            <w:tcW w:w="204" w:type="pct"/>
            <w:vAlign w:val="center"/>
          </w:tcPr>
          <w:p>
            <w:pPr>
              <w:snapToGrid w:val="0"/>
              <w:jc w:val="center"/>
              <w:rPr>
                <w:rFonts w:ascii="Times New Roman" w:hAnsi="Times New Roman" w:eastAsia="方正仿宋_GBK" w:cs="Times New Roman"/>
                <w:color w:val="000000" w:themeColor="text1"/>
                <w:sz w:val="24"/>
                <w:szCs w:val="24"/>
              </w:rPr>
            </w:pPr>
          </w:p>
        </w:tc>
        <w:tc>
          <w:tcPr>
            <w:tcW w:w="254" w:type="pct"/>
            <w:vAlign w:val="center"/>
          </w:tcPr>
          <w:p>
            <w:pPr>
              <w:snapToGrid w:val="0"/>
              <w:jc w:val="center"/>
              <w:rPr>
                <w:rFonts w:ascii="Times New Roman" w:hAnsi="Times New Roman" w:eastAsia="方正仿宋_GBK" w:cs="Times New Roman"/>
                <w:color w:val="000000" w:themeColor="text1"/>
                <w:sz w:val="24"/>
                <w:szCs w:val="24"/>
              </w:rPr>
            </w:pPr>
          </w:p>
        </w:tc>
        <w:tc>
          <w:tcPr>
            <w:tcW w:w="559" w:type="pct"/>
            <w:vAlign w:val="center"/>
          </w:tcPr>
          <w:p>
            <w:pPr>
              <w:snapToGrid w:val="0"/>
              <w:jc w:val="center"/>
              <w:rPr>
                <w:rFonts w:ascii="Times New Roman" w:hAnsi="Times New Roman" w:eastAsia="方正仿宋_GBK" w:cs="Times New Roman"/>
                <w:color w:val="000000" w:themeColor="text1"/>
                <w:sz w:val="24"/>
                <w:szCs w:val="24"/>
              </w:rPr>
            </w:pPr>
          </w:p>
        </w:tc>
        <w:tc>
          <w:tcPr>
            <w:tcW w:w="458" w:type="pct"/>
            <w:vAlign w:val="center"/>
          </w:tcPr>
          <w:p>
            <w:pPr>
              <w:snapToGrid w:val="0"/>
              <w:jc w:val="center"/>
              <w:rPr>
                <w:rFonts w:ascii="Times New Roman" w:hAnsi="Times New Roman" w:eastAsia="方正仿宋_GBK" w:cs="Times New Roman"/>
                <w:color w:val="000000" w:themeColor="text1"/>
                <w:sz w:val="24"/>
                <w:szCs w:val="24"/>
              </w:rPr>
            </w:pPr>
          </w:p>
        </w:tc>
        <w:tc>
          <w:tcPr>
            <w:tcW w:w="407" w:type="pct"/>
            <w:vAlign w:val="center"/>
          </w:tcPr>
          <w:p>
            <w:pPr>
              <w:snapToGrid w:val="0"/>
              <w:jc w:val="center"/>
              <w:rPr>
                <w:rFonts w:ascii="Times New Roman" w:hAnsi="Times New Roman" w:eastAsia="方正仿宋_GBK" w:cs="Times New Roman"/>
                <w:color w:val="000000" w:themeColor="text1"/>
                <w:sz w:val="24"/>
                <w:szCs w:val="24"/>
              </w:rPr>
            </w:pPr>
          </w:p>
        </w:tc>
        <w:tc>
          <w:tcPr>
            <w:tcW w:w="355" w:type="pct"/>
            <w:vAlign w:val="center"/>
          </w:tcPr>
          <w:p>
            <w:pPr>
              <w:snapToGrid w:val="0"/>
              <w:jc w:val="center"/>
              <w:rPr>
                <w:rFonts w:ascii="Times New Roman" w:hAnsi="Times New Roman" w:eastAsia="方正仿宋_GBK" w:cs="Times New Roman"/>
                <w:color w:val="000000" w:themeColor="text1"/>
                <w:sz w:val="24"/>
                <w:szCs w:val="24"/>
              </w:rPr>
            </w:pPr>
          </w:p>
        </w:tc>
        <w:tc>
          <w:tcPr>
            <w:tcW w:w="362" w:type="pct"/>
            <w:vAlign w:val="center"/>
          </w:tcPr>
          <w:p>
            <w:pPr>
              <w:snapToGrid w:val="0"/>
              <w:jc w:val="center"/>
              <w:rPr>
                <w:rFonts w:ascii="Times New Roman" w:hAnsi="Times New Roman" w:eastAsia="方正仿宋_GBK" w:cs="Times New Roman"/>
                <w:color w:val="000000" w:themeColor="text1"/>
                <w:sz w:val="24"/>
                <w:szCs w:val="24"/>
              </w:rPr>
            </w:pPr>
          </w:p>
        </w:tc>
        <w:tc>
          <w:tcPr>
            <w:tcW w:w="400" w:type="pct"/>
            <w:vAlign w:val="center"/>
          </w:tcPr>
          <w:p>
            <w:pPr>
              <w:snapToGrid w:val="0"/>
              <w:jc w:val="center"/>
              <w:rPr>
                <w:rFonts w:ascii="Times New Roman" w:hAnsi="Times New Roman" w:eastAsia="方正仿宋_GBK" w:cs="Times New Roman"/>
                <w:color w:val="000000" w:themeColor="text1"/>
                <w:sz w:val="24"/>
                <w:szCs w:val="24"/>
              </w:rPr>
            </w:pPr>
          </w:p>
        </w:tc>
        <w:tc>
          <w:tcPr>
            <w:tcW w:w="287" w:type="pct"/>
            <w:vAlign w:val="center"/>
          </w:tcPr>
          <w:p>
            <w:pPr>
              <w:snapToGrid w:val="0"/>
              <w:jc w:val="center"/>
              <w:rPr>
                <w:rFonts w:ascii="Times New Roman" w:hAnsi="Times New Roman" w:eastAsia="方正仿宋_GBK" w:cs="Times New Roman"/>
                <w:color w:val="000000" w:themeColor="text1"/>
                <w:sz w:val="24"/>
                <w:szCs w:val="24"/>
              </w:rPr>
            </w:pPr>
          </w:p>
        </w:tc>
        <w:tc>
          <w:tcPr>
            <w:tcW w:w="388" w:type="pct"/>
            <w:vAlign w:val="center"/>
          </w:tcPr>
          <w:p>
            <w:pPr>
              <w:snapToGrid w:val="0"/>
              <w:jc w:val="center"/>
              <w:rPr>
                <w:rFonts w:ascii="Times New Roman" w:hAnsi="Times New Roman" w:eastAsia="方正仿宋_GBK" w:cs="Times New Roman"/>
                <w:color w:val="000000" w:themeColor="text1"/>
                <w:sz w:val="24"/>
                <w:szCs w:val="24"/>
              </w:rPr>
            </w:pPr>
          </w:p>
        </w:tc>
        <w:tc>
          <w:tcPr>
            <w:tcW w:w="210" w:type="pct"/>
            <w:vAlign w:val="center"/>
          </w:tcPr>
          <w:p>
            <w:pPr>
              <w:snapToGrid w:val="0"/>
              <w:jc w:val="center"/>
              <w:rPr>
                <w:rFonts w:ascii="Times New Roman" w:hAnsi="Times New Roman" w:eastAsia="方正仿宋_GBK" w:cs="Times New Roman"/>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201" w:type="pct"/>
            <w:vAlign w:val="center"/>
          </w:tcPr>
          <w:p>
            <w:pPr>
              <w:snapToGrid w:val="0"/>
              <w:ind w:left="-109" w:leftChars="-52" w:right="-48" w:rightChars="-23"/>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w:t>
            </w:r>
          </w:p>
        </w:tc>
        <w:tc>
          <w:tcPr>
            <w:tcW w:w="508" w:type="pct"/>
            <w:vAlign w:val="center"/>
          </w:tcPr>
          <w:p>
            <w:pPr>
              <w:snapToGrid w:val="0"/>
              <w:ind w:left="-109" w:leftChars="-52" w:right="-103" w:rightChars="-49"/>
              <w:jc w:val="center"/>
              <w:rPr>
                <w:rFonts w:ascii="Times New Roman" w:hAnsi="Times New Roman" w:eastAsia="方正仿宋_GBK" w:cs="Times New Roman"/>
                <w:color w:val="000000" w:themeColor="text1"/>
                <w:sz w:val="24"/>
                <w:szCs w:val="24"/>
              </w:rPr>
            </w:pPr>
          </w:p>
        </w:tc>
        <w:tc>
          <w:tcPr>
            <w:tcW w:w="203" w:type="pct"/>
            <w:vAlign w:val="center"/>
          </w:tcPr>
          <w:p>
            <w:pPr>
              <w:snapToGrid w:val="0"/>
              <w:jc w:val="center"/>
              <w:rPr>
                <w:rFonts w:ascii="Times New Roman" w:hAnsi="Times New Roman" w:eastAsia="方正仿宋_GBK" w:cs="Times New Roman"/>
                <w:color w:val="000000" w:themeColor="text1"/>
                <w:sz w:val="24"/>
                <w:szCs w:val="24"/>
              </w:rPr>
            </w:pPr>
          </w:p>
        </w:tc>
        <w:tc>
          <w:tcPr>
            <w:tcW w:w="203" w:type="pct"/>
            <w:vAlign w:val="center"/>
          </w:tcPr>
          <w:p>
            <w:pPr>
              <w:snapToGrid w:val="0"/>
              <w:jc w:val="center"/>
              <w:rPr>
                <w:rFonts w:ascii="Times New Roman" w:hAnsi="Times New Roman" w:eastAsia="方正仿宋_GBK" w:cs="Times New Roman"/>
                <w:color w:val="000000" w:themeColor="text1"/>
                <w:sz w:val="24"/>
                <w:szCs w:val="24"/>
              </w:rPr>
            </w:pPr>
          </w:p>
        </w:tc>
        <w:tc>
          <w:tcPr>
            <w:tcW w:w="204" w:type="pct"/>
            <w:vAlign w:val="center"/>
          </w:tcPr>
          <w:p>
            <w:pPr>
              <w:snapToGrid w:val="0"/>
              <w:jc w:val="center"/>
              <w:rPr>
                <w:rFonts w:ascii="Times New Roman" w:hAnsi="Times New Roman" w:eastAsia="方正仿宋_GBK" w:cs="Times New Roman"/>
                <w:color w:val="000000" w:themeColor="text1"/>
                <w:sz w:val="24"/>
                <w:szCs w:val="24"/>
              </w:rPr>
            </w:pPr>
          </w:p>
        </w:tc>
        <w:tc>
          <w:tcPr>
            <w:tcW w:w="254" w:type="pct"/>
            <w:vAlign w:val="center"/>
          </w:tcPr>
          <w:p>
            <w:pPr>
              <w:snapToGrid w:val="0"/>
              <w:jc w:val="center"/>
              <w:rPr>
                <w:rFonts w:ascii="Times New Roman" w:hAnsi="Times New Roman" w:eastAsia="方正仿宋_GBK" w:cs="Times New Roman"/>
                <w:color w:val="000000" w:themeColor="text1"/>
                <w:sz w:val="24"/>
                <w:szCs w:val="24"/>
              </w:rPr>
            </w:pPr>
          </w:p>
        </w:tc>
        <w:tc>
          <w:tcPr>
            <w:tcW w:w="559" w:type="pct"/>
            <w:vAlign w:val="center"/>
          </w:tcPr>
          <w:p>
            <w:pPr>
              <w:snapToGrid w:val="0"/>
              <w:jc w:val="center"/>
              <w:rPr>
                <w:rFonts w:ascii="Times New Roman" w:hAnsi="Times New Roman" w:eastAsia="方正仿宋_GBK" w:cs="Times New Roman"/>
                <w:color w:val="000000" w:themeColor="text1"/>
                <w:sz w:val="24"/>
                <w:szCs w:val="24"/>
              </w:rPr>
            </w:pPr>
          </w:p>
        </w:tc>
        <w:tc>
          <w:tcPr>
            <w:tcW w:w="458" w:type="pct"/>
            <w:vAlign w:val="center"/>
          </w:tcPr>
          <w:p>
            <w:pPr>
              <w:snapToGrid w:val="0"/>
              <w:jc w:val="center"/>
              <w:rPr>
                <w:rFonts w:ascii="Times New Roman" w:hAnsi="Times New Roman" w:eastAsia="方正仿宋_GBK" w:cs="Times New Roman"/>
                <w:color w:val="000000" w:themeColor="text1"/>
                <w:sz w:val="24"/>
                <w:szCs w:val="24"/>
              </w:rPr>
            </w:pPr>
          </w:p>
        </w:tc>
        <w:tc>
          <w:tcPr>
            <w:tcW w:w="407" w:type="pct"/>
            <w:vAlign w:val="center"/>
          </w:tcPr>
          <w:p>
            <w:pPr>
              <w:snapToGrid w:val="0"/>
              <w:jc w:val="center"/>
              <w:rPr>
                <w:rFonts w:ascii="Times New Roman" w:hAnsi="Times New Roman" w:eastAsia="方正仿宋_GBK" w:cs="Times New Roman"/>
                <w:color w:val="000000" w:themeColor="text1"/>
                <w:sz w:val="24"/>
                <w:szCs w:val="24"/>
              </w:rPr>
            </w:pPr>
          </w:p>
        </w:tc>
        <w:tc>
          <w:tcPr>
            <w:tcW w:w="355" w:type="pct"/>
            <w:vAlign w:val="center"/>
          </w:tcPr>
          <w:p>
            <w:pPr>
              <w:snapToGrid w:val="0"/>
              <w:jc w:val="center"/>
              <w:rPr>
                <w:rFonts w:ascii="Times New Roman" w:hAnsi="Times New Roman" w:eastAsia="方正仿宋_GBK" w:cs="Times New Roman"/>
                <w:color w:val="000000" w:themeColor="text1"/>
                <w:sz w:val="24"/>
                <w:szCs w:val="24"/>
              </w:rPr>
            </w:pPr>
          </w:p>
        </w:tc>
        <w:tc>
          <w:tcPr>
            <w:tcW w:w="362" w:type="pct"/>
            <w:vAlign w:val="center"/>
          </w:tcPr>
          <w:p>
            <w:pPr>
              <w:snapToGrid w:val="0"/>
              <w:jc w:val="center"/>
              <w:rPr>
                <w:rFonts w:ascii="Times New Roman" w:hAnsi="Times New Roman" w:eastAsia="方正仿宋_GBK" w:cs="Times New Roman"/>
                <w:color w:val="000000" w:themeColor="text1"/>
                <w:sz w:val="24"/>
                <w:szCs w:val="24"/>
              </w:rPr>
            </w:pPr>
          </w:p>
        </w:tc>
        <w:tc>
          <w:tcPr>
            <w:tcW w:w="400" w:type="pct"/>
            <w:vAlign w:val="center"/>
          </w:tcPr>
          <w:p>
            <w:pPr>
              <w:snapToGrid w:val="0"/>
              <w:jc w:val="center"/>
              <w:rPr>
                <w:rFonts w:ascii="Times New Roman" w:hAnsi="Times New Roman" w:eastAsia="方正仿宋_GBK" w:cs="Times New Roman"/>
                <w:color w:val="000000" w:themeColor="text1"/>
                <w:sz w:val="24"/>
                <w:szCs w:val="24"/>
              </w:rPr>
            </w:pPr>
          </w:p>
        </w:tc>
        <w:tc>
          <w:tcPr>
            <w:tcW w:w="287" w:type="pct"/>
            <w:vAlign w:val="center"/>
          </w:tcPr>
          <w:p>
            <w:pPr>
              <w:snapToGrid w:val="0"/>
              <w:jc w:val="center"/>
              <w:rPr>
                <w:rFonts w:ascii="Times New Roman" w:hAnsi="Times New Roman" w:eastAsia="方正仿宋_GBK" w:cs="Times New Roman"/>
                <w:color w:val="000000" w:themeColor="text1"/>
                <w:sz w:val="24"/>
                <w:szCs w:val="24"/>
              </w:rPr>
            </w:pPr>
          </w:p>
        </w:tc>
        <w:tc>
          <w:tcPr>
            <w:tcW w:w="388" w:type="pct"/>
            <w:vAlign w:val="center"/>
          </w:tcPr>
          <w:p>
            <w:pPr>
              <w:snapToGrid w:val="0"/>
              <w:jc w:val="center"/>
              <w:rPr>
                <w:rFonts w:ascii="Times New Roman" w:hAnsi="Times New Roman" w:eastAsia="方正仿宋_GBK" w:cs="Times New Roman"/>
                <w:color w:val="000000" w:themeColor="text1"/>
                <w:sz w:val="24"/>
                <w:szCs w:val="24"/>
              </w:rPr>
            </w:pPr>
          </w:p>
        </w:tc>
        <w:tc>
          <w:tcPr>
            <w:tcW w:w="210" w:type="pct"/>
            <w:vAlign w:val="center"/>
          </w:tcPr>
          <w:p>
            <w:pPr>
              <w:snapToGrid w:val="0"/>
              <w:jc w:val="center"/>
              <w:rPr>
                <w:rFonts w:ascii="Times New Roman" w:hAnsi="Times New Roman" w:eastAsia="方正仿宋_GBK" w:cs="Times New Roman"/>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201" w:type="pct"/>
            <w:vAlign w:val="center"/>
          </w:tcPr>
          <w:p>
            <w:pPr>
              <w:snapToGrid w:val="0"/>
              <w:ind w:left="-109" w:leftChars="-52" w:right="-48" w:rightChars="-23"/>
              <w:jc w:val="center"/>
              <w:rPr>
                <w:rFonts w:ascii="Times New Roman" w:hAnsi="Times New Roman" w:eastAsia="方正仿宋_GBK" w:cs="Times New Roman"/>
                <w:color w:val="000000" w:themeColor="text1"/>
                <w:sz w:val="24"/>
                <w:szCs w:val="24"/>
              </w:rPr>
            </w:pPr>
          </w:p>
        </w:tc>
        <w:tc>
          <w:tcPr>
            <w:tcW w:w="508" w:type="pct"/>
            <w:vAlign w:val="center"/>
          </w:tcPr>
          <w:p>
            <w:pPr>
              <w:snapToGrid w:val="0"/>
              <w:ind w:left="-109" w:leftChars="-52" w:right="-103" w:rightChars="-49"/>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合计</w:t>
            </w:r>
          </w:p>
        </w:tc>
        <w:tc>
          <w:tcPr>
            <w:tcW w:w="610" w:type="pct"/>
            <w:gridSpan w:val="3"/>
            <w:vAlign w:val="center"/>
          </w:tcPr>
          <w:p>
            <w:pPr>
              <w:snapToGrid w:val="0"/>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w:t>
            </w:r>
          </w:p>
        </w:tc>
        <w:tc>
          <w:tcPr>
            <w:tcW w:w="254" w:type="pct"/>
            <w:vAlign w:val="center"/>
          </w:tcPr>
          <w:p>
            <w:pPr>
              <w:snapToGrid w:val="0"/>
              <w:jc w:val="center"/>
              <w:rPr>
                <w:rFonts w:ascii="Times New Roman" w:hAnsi="Times New Roman" w:eastAsia="方正仿宋_GBK" w:cs="Times New Roman"/>
                <w:color w:val="000000" w:themeColor="text1"/>
                <w:sz w:val="24"/>
                <w:szCs w:val="24"/>
              </w:rPr>
            </w:pPr>
          </w:p>
        </w:tc>
        <w:tc>
          <w:tcPr>
            <w:tcW w:w="559" w:type="pct"/>
            <w:vAlign w:val="center"/>
          </w:tcPr>
          <w:p>
            <w:pPr>
              <w:snapToGrid w:val="0"/>
              <w:jc w:val="center"/>
              <w:rPr>
                <w:rFonts w:ascii="Times New Roman" w:hAnsi="Times New Roman" w:eastAsia="方正仿宋_GBK" w:cs="Times New Roman"/>
                <w:color w:val="000000" w:themeColor="text1"/>
                <w:sz w:val="24"/>
                <w:szCs w:val="24"/>
              </w:rPr>
            </w:pPr>
            <w:r>
              <w:rPr>
                <w:rFonts w:hint="eastAsia" w:ascii="Times New Roman" w:hAnsi="Times New Roman" w:eastAsia="方正仿宋_GBK" w:cs="Times New Roman"/>
                <w:color w:val="000000" w:themeColor="text1"/>
                <w:sz w:val="24"/>
                <w:szCs w:val="24"/>
              </w:rPr>
              <w:t>——</w:t>
            </w:r>
          </w:p>
        </w:tc>
        <w:tc>
          <w:tcPr>
            <w:tcW w:w="458" w:type="pct"/>
            <w:vAlign w:val="center"/>
          </w:tcPr>
          <w:p>
            <w:pPr>
              <w:snapToGrid w:val="0"/>
              <w:jc w:val="center"/>
              <w:rPr>
                <w:rFonts w:ascii="Times New Roman" w:hAnsi="Times New Roman" w:eastAsia="方正仿宋_GBK" w:cs="Times New Roman"/>
                <w:color w:val="000000" w:themeColor="text1"/>
                <w:sz w:val="24"/>
                <w:szCs w:val="24"/>
              </w:rPr>
            </w:pPr>
          </w:p>
        </w:tc>
        <w:tc>
          <w:tcPr>
            <w:tcW w:w="407" w:type="pct"/>
            <w:vAlign w:val="center"/>
          </w:tcPr>
          <w:p>
            <w:pPr>
              <w:snapToGrid w:val="0"/>
              <w:jc w:val="center"/>
              <w:rPr>
                <w:rFonts w:ascii="Times New Roman" w:hAnsi="Times New Roman" w:eastAsia="方正仿宋_GBK" w:cs="Times New Roman"/>
                <w:color w:val="000000" w:themeColor="text1"/>
                <w:sz w:val="24"/>
                <w:szCs w:val="24"/>
              </w:rPr>
            </w:pPr>
          </w:p>
        </w:tc>
        <w:tc>
          <w:tcPr>
            <w:tcW w:w="355" w:type="pct"/>
            <w:vAlign w:val="center"/>
          </w:tcPr>
          <w:p>
            <w:pPr>
              <w:snapToGrid w:val="0"/>
              <w:jc w:val="center"/>
              <w:rPr>
                <w:rFonts w:ascii="Times New Roman" w:hAnsi="Times New Roman" w:eastAsia="方正仿宋_GBK" w:cs="Times New Roman"/>
                <w:color w:val="000000" w:themeColor="text1"/>
                <w:sz w:val="24"/>
                <w:szCs w:val="24"/>
              </w:rPr>
            </w:pPr>
          </w:p>
        </w:tc>
        <w:tc>
          <w:tcPr>
            <w:tcW w:w="362" w:type="pct"/>
            <w:vAlign w:val="center"/>
          </w:tcPr>
          <w:p>
            <w:pPr>
              <w:snapToGrid w:val="0"/>
              <w:jc w:val="center"/>
              <w:rPr>
                <w:rFonts w:ascii="Times New Roman" w:hAnsi="Times New Roman" w:eastAsia="方正仿宋_GBK" w:cs="Times New Roman"/>
                <w:color w:val="000000" w:themeColor="text1"/>
                <w:sz w:val="24"/>
                <w:szCs w:val="24"/>
              </w:rPr>
            </w:pPr>
          </w:p>
        </w:tc>
        <w:tc>
          <w:tcPr>
            <w:tcW w:w="400" w:type="pct"/>
            <w:vAlign w:val="center"/>
          </w:tcPr>
          <w:p>
            <w:pPr>
              <w:snapToGrid w:val="0"/>
              <w:jc w:val="center"/>
              <w:rPr>
                <w:rFonts w:ascii="Times New Roman" w:hAnsi="Times New Roman" w:eastAsia="方正仿宋_GBK" w:cs="Times New Roman"/>
                <w:color w:val="000000" w:themeColor="text1"/>
                <w:sz w:val="24"/>
                <w:szCs w:val="24"/>
              </w:rPr>
            </w:pPr>
          </w:p>
        </w:tc>
        <w:tc>
          <w:tcPr>
            <w:tcW w:w="287" w:type="pct"/>
            <w:vAlign w:val="center"/>
          </w:tcPr>
          <w:p>
            <w:pPr>
              <w:snapToGrid w:val="0"/>
              <w:jc w:val="center"/>
              <w:rPr>
                <w:rFonts w:ascii="Times New Roman" w:hAnsi="Times New Roman" w:eastAsia="方正仿宋_GBK" w:cs="Times New Roman"/>
                <w:color w:val="000000" w:themeColor="text1"/>
                <w:sz w:val="24"/>
                <w:szCs w:val="24"/>
              </w:rPr>
            </w:pPr>
          </w:p>
        </w:tc>
        <w:tc>
          <w:tcPr>
            <w:tcW w:w="388" w:type="pct"/>
            <w:vAlign w:val="center"/>
          </w:tcPr>
          <w:p>
            <w:pPr>
              <w:snapToGrid w:val="0"/>
              <w:jc w:val="center"/>
              <w:rPr>
                <w:rFonts w:ascii="Times New Roman" w:hAnsi="Times New Roman" w:eastAsia="方正仿宋_GBK" w:cs="Times New Roman"/>
                <w:color w:val="000000" w:themeColor="text1"/>
                <w:sz w:val="24"/>
                <w:szCs w:val="24"/>
              </w:rPr>
            </w:pPr>
          </w:p>
        </w:tc>
        <w:tc>
          <w:tcPr>
            <w:tcW w:w="210" w:type="pct"/>
            <w:vAlign w:val="center"/>
          </w:tcPr>
          <w:p>
            <w:pPr>
              <w:snapToGrid w:val="0"/>
              <w:jc w:val="center"/>
              <w:rPr>
                <w:rFonts w:ascii="Times New Roman" w:hAnsi="Times New Roman" w:eastAsia="方正仿宋_GBK" w:cs="Times New Roman"/>
                <w:color w:val="000000" w:themeColor="text1"/>
                <w:sz w:val="24"/>
                <w:szCs w:val="24"/>
              </w:rPr>
            </w:pPr>
          </w:p>
        </w:tc>
      </w:tr>
    </w:tbl>
    <w:p>
      <w:pPr>
        <w:rPr>
          <w:rFonts w:ascii="方正小标宋_GBK" w:hAnsi="Times New Roman" w:eastAsia="方正小标宋_GBK" w:cs="Times New Roman"/>
          <w:color w:val="000000" w:themeColor="text1"/>
          <w:sz w:val="30"/>
          <w:szCs w:val="30"/>
        </w:rPr>
      </w:pPr>
      <w:r>
        <w:rPr>
          <w:rFonts w:hint="eastAsia"/>
        </w:rPr>
        <w:t>注：主要受限原因可根据本办法第三条所述原因择要填写</w:t>
      </w:r>
      <w:r>
        <w:t>。</w:t>
      </w:r>
    </w:p>
    <w:p>
      <w:pPr>
        <w:snapToGrid w:val="0"/>
        <w:spacing w:line="588" w:lineRule="exact"/>
        <w:rPr>
          <w:rFonts w:ascii="Times New Roman" w:hAnsi="Times New Roman" w:eastAsia="方正仿宋_GBK" w:cs="Times New Roman"/>
          <w:color w:val="000000" w:themeColor="text1"/>
          <w:sz w:val="30"/>
          <w:szCs w:val="30"/>
        </w:rPr>
      </w:pPr>
    </w:p>
    <w:sectPr>
      <w:pgSz w:w="16838" w:h="11906"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new roan">
    <w:altName w:val="Times New Roman"/>
    <w:panose1 w:val="00000000000000000000"/>
    <w:charset w:val="00"/>
    <w:family w:val="roman"/>
    <w:pitch w:val="default"/>
    <w:sig w:usb0="00000000" w:usb1="00000000" w:usb2="00000000" w:usb3="00000000" w:csb0="00000000" w:csb1="00000000"/>
  </w:font>
  <w:font w:name="Calibri Light">
    <w:panose1 w:val="020F0302020204030204"/>
    <w:charset w:val="00"/>
    <w:family w:val="swiss"/>
    <w:pitch w:val="default"/>
    <w:sig w:usb0="A00002EF" w:usb1="4000207B" w:usb2="00000000"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41519421"/>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44B02"/>
    <w:rsid w:val="00000F7D"/>
    <w:rsid w:val="00006780"/>
    <w:rsid w:val="00006D2B"/>
    <w:rsid w:val="00011300"/>
    <w:rsid w:val="0001256A"/>
    <w:rsid w:val="00014D54"/>
    <w:rsid w:val="00015083"/>
    <w:rsid w:val="000216F8"/>
    <w:rsid w:val="00026922"/>
    <w:rsid w:val="0002794B"/>
    <w:rsid w:val="00030686"/>
    <w:rsid w:val="0003174E"/>
    <w:rsid w:val="000326A2"/>
    <w:rsid w:val="00033FAF"/>
    <w:rsid w:val="0003578D"/>
    <w:rsid w:val="00036276"/>
    <w:rsid w:val="000363FC"/>
    <w:rsid w:val="000375C9"/>
    <w:rsid w:val="000418E4"/>
    <w:rsid w:val="000423D0"/>
    <w:rsid w:val="00043C9F"/>
    <w:rsid w:val="000449CD"/>
    <w:rsid w:val="00046BD5"/>
    <w:rsid w:val="00054142"/>
    <w:rsid w:val="000615D3"/>
    <w:rsid w:val="00065C31"/>
    <w:rsid w:val="000678DA"/>
    <w:rsid w:val="00070237"/>
    <w:rsid w:val="0007031C"/>
    <w:rsid w:val="00070BB7"/>
    <w:rsid w:val="00071D73"/>
    <w:rsid w:val="00072F44"/>
    <w:rsid w:val="0007311F"/>
    <w:rsid w:val="000749D4"/>
    <w:rsid w:val="00077F46"/>
    <w:rsid w:val="0008302E"/>
    <w:rsid w:val="00084043"/>
    <w:rsid w:val="00087FE8"/>
    <w:rsid w:val="000900C9"/>
    <w:rsid w:val="00091265"/>
    <w:rsid w:val="0009256D"/>
    <w:rsid w:val="0009570B"/>
    <w:rsid w:val="000966D4"/>
    <w:rsid w:val="00097959"/>
    <w:rsid w:val="000A2434"/>
    <w:rsid w:val="000A270C"/>
    <w:rsid w:val="000A6933"/>
    <w:rsid w:val="000A77BD"/>
    <w:rsid w:val="000B069B"/>
    <w:rsid w:val="000B16A7"/>
    <w:rsid w:val="000B2D8C"/>
    <w:rsid w:val="000B787F"/>
    <w:rsid w:val="000C23BF"/>
    <w:rsid w:val="000C353F"/>
    <w:rsid w:val="000C36E5"/>
    <w:rsid w:val="000D6BC6"/>
    <w:rsid w:val="000D7010"/>
    <w:rsid w:val="000E691E"/>
    <w:rsid w:val="000F0AF2"/>
    <w:rsid w:val="00100F01"/>
    <w:rsid w:val="00103D9D"/>
    <w:rsid w:val="00104796"/>
    <w:rsid w:val="00104A1B"/>
    <w:rsid w:val="001060A3"/>
    <w:rsid w:val="001112B0"/>
    <w:rsid w:val="00122289"/>
    <w:rsid w:val="0012270F"/>
    <w:rsid w:val="00122F6C"/>
    <w:rsid w:val="0012535E"/>
    <w:rsid w:val="00127314"/>
    <w:rsid w:val="001327F7"/>
    <w:rsid w:val="00133CE9"/>
    <w:rsid w:val="00135AA6"/>
    <w:rsid w:val="00136438"/>
    <w:rsid w:val="00136878"/>
    <w:rsid w:val="001412CA"/>
    <w:rsid w:val="00141FA6"/>
    <w:rsid w:val="00142A37"/>
    <w:rsid w:val="00142B63"/>
    <w:rsid w:val="00143029"/>
    <w:rsid w:val="001473EB"/>
    <w:rsid w:val="0015112A"/>
    <w:rsid w:val="001519F1"/>
    <w:rsid w:val="001523CA"/>
    <w:rsid w:val="00152C9C"/>
    <w:rsid w:val="00155362"/>
    <w:rsid w:val="00156168"/>
    <w:rsid w:val="00161E51"/>
    <w:rsid w:val="001622D8"/>
    <w:rsid w:val="00163D24"/>
    <w:rsid w:val="00163F51"/>
    <w:rsid w:val="0016750E"/>
    <w:rsid w:val="001701C1"/>
    <w:rsid w:val="00172BAA"/>
    <w:rsid w:val="001758AD"/>
    <w:rsid w:val="0018058B"/>
    <w:rsid w:val="0018266B"/>
    <w:rsid w:val="0018496E"/>
    <w:rsid w:val="00186230"/>
    <w:rsid w:val="0019115B"/>
    <w:rsid w:val="00192479"/>
    <w:rsid w:val="00194F34"/>
    <w:rsid w:val="00196AF6"/>
    <w:rsid w:val="001970F0"/>
    <w:rsid w:val="001A18D4"/>
    <w:rsid w:val="001A3156"/>
    <w:rsid w:val="001A3EAE"/>
    <w:rsid w:val="001A5251"/>
    <w:rsid w:val="001A6FBC"/>
    <w:rsid w:val="001B66B3"/>
    <w:rsid w:val="001C0891"/>
    <w:rsid w:val="001C111F"/>
    <w:rsid w:val="001C3C10"/>
    <w:rsid w:val="001C58FE"/>
    <w:rsid w:val="001C692B"/>
    <w:rsid w:val="001C6CBF"/>
    <w:rsid w:val="001D1EA7"/>
    <w:rsid w:val="001D3986"/>
    <w:rsid w:val="001D7155"/>
    <w:rsid w:val="001D7325"/>
    <w:rsid w:val="001D7EC3"/>
    <w:rsid w:val="001E1786"/>
    <w:rsid w:val="001F0F09"/>
    <w:rsid w:val="001F2B62"/>
    <w:rsid w:val="001F314D"/>
    <w:rsid w:val="001F46D7"/>
    <w:rsid w:val="00203B3F"/>
    <w:rsid w:val="00205090"/>
    <w:rsid w:val="0020632A"/>
    <w:rsid w:val="00207431"/>
    <w:rsid w:val="00207646"/>
    <w:rsid w:val="00211BBA"/>
    <w:rsid w:val="002141A9"/>
    <w:rsid w:val="002231E3"/>
    <w:rsid w:val="00226453"/>
    <w:rsid w:val="0023074D"/>
    <w:rsid w:val="0023092F"/>
    <w:rsid w:val="00232C1E"/>
    <w:rsid w:val="0023524C"/>
    <w:rsid w:val="002375C5"/>
    <w:rsid w:val="00237EB0"/>
    <w:rsid w:val="0024051C"/>
    <w:rsid w:val="002425EB"/>
    <w:rsid w:val="002428E6"/>
    <w:rsid w:val="00244733"/>
    <w:rsid w:val="002512F8"/>
    <w:rsid w:val="00253111"/>
    <w:rsid w:val="0026021E"/>
    <w:rsid w:val="002623A3"/>
    <w:rsid w:val="00263A9A"/>
    <w:rsid w:val="002677AC"/>
    <w:rsid w:val="002702D1"/>
    <w:rsid w:val="00272EB2"/>
    <w:rsid w:val="002749BA"/>
    <w:rsid w:val="00276150"/>
    <w:rsid w:val="00276CD8"/>
    <w:rsid w:val="00282A05"/>
    <w:rsid w:val="00282D14"/>
    <w:rsid w:val="00283961"/>
    <w:rsid w:val="00286812"/>
    <w:rsid w:val="00287A08"/>
    <w:rsid w:val="00287B2F"/>
    <w:rsid w:val="00291D50"/>
    <w:rsid w:val="0029564D"/>
    <w:rsid w:val="002A0F7E"/>
    <w:rsid w:val="002B2BB1"/>
    <w:rsid w:val="002B56C6"/>
    <w:rsid w:val="002C30B0"/>
    <w:rsid w:val="002C4035"/>
    <w:rsid w:val="002C6E57"/>
    <w:rsid w:val="002C779E"/>
    <w:rsid w:val="002D12DA"/>
    <w:rsid w:val="002D3B10"/>
    <w:rsid w:val="002D4D71"/>
    <w:rsid w:val="002D5526"/>
    <w:rsid w:val="002E3478"/>
    <w:rsid w:val="002F0848"/>
    <w:rsid w:val="002F4C63"/>
    <w:rsid w:val="002F53E7"/>
    <w:rsid w:val="002F551E"/>
    <w:rsid w:val="002F682F"/>
    <w:rsid w:val="00300BB3"/>
    <w:rsid w:val="003062A7"/>
    <w:rsid w:val="003066C8"/>
    <w:rsid w:val="00306910"/>
    <w:rsid w:val="00307EB0"/>
    <w:rsid w:val="00307F0F"/>
    <w:rsid w:val="003124E9"/>
    <w:rsid w:val="003165E1"/>
    <w:rsid w:val="00317A4C"/>
    <w:rsid w:val="0032079E"/>
    <w:rsid w:val="003224C6"/>
    <w:rsid w:val="003228D7"/>
    <w:rsid w:val="00325380"/>
    <w:rsid w:val="003304F2"/>
    <w:rsid w:val="003317BA"/>
    <w:rsid w:val="00332720"/>
    <w:rsid w:val="00332E93"/>
    <w:rsid w:val="00336B5D"/>
    <w:rsid w:val="003407AE"/>
    <w:rsid w:val="00343CB9"/>
    <w:rsid w:val="00347BBC"/>
    <w:rsid w:val="00353347"/>
    <w:rsid w:val="00353D44"/>
    <w:rsid w:val="00361EAB"/>
    <w:rsid w:val="003635A6"/>
    <w:rsid w:val="003635AB"/>
    <w:rsid w:val="00364185"/>
    <w:rsid w:val="00370305"/>
    <w:rsid w:val="00376917"/>
    <w:rsid w:val="00383E50"/>
    <w:rsid w:val="00386451"/>
    <w:rsid w:val="00392F18"/>
    <w:rsid w:val="00393114"/>
    <w:rsid w:val="00395032"/>
    <w:rsid w:val="00396EB8"/>
    <w:rsid w:val="003A49EA"/>
    <w:rsid w:val="003A53F4"/>
    <w:rsid w:val="003A7C14"/>
    <w:rsid w:val="003B0082"/>
    <w:rsid w:val="003B3BBF"/>
    <w:rsid w:val="003B3C4D"/>
    <w:rsid w:val="003B4D42"/>
    <w:rsid w:val="003B782F"/>
    <w:rsid w:val="003B7F42"/>
    <w:rsid w:val="003C054C"/>
    <w:rsid w:val="003C0997"/>
    <w:rsid w:val="003C3877"/>
    <w:rsid w:val="003D091A"/>
    <w:rsid w:val="003D34A6"/>
    <w:rsid w:val="003D3DE2"/>
    <w:rsid w:val="003D66D6"/>
    <w:rsid w:val="003E1308"/>
    <w:rsid w:val="003E3295"/>
    <w:rsid w:val="003E4081"/>
    <w:rsid w:val="003E7617"/>
    <w:rsid w:val="003F1080"/>
    <w:rsid w:val="003F4BFC"/>
    <w:rsid w:val="003F5E17"/>
    <w:rsid w:val="00405338"/>
    <w:rsid w:val="00410450"/>
    <w:rsid w:val="004109E9"/>
    <w:rsid w:val="00413531"/>
    <w:rsid w:val="00413FCE"/>
    <w:rsid w:val="0042589C"/>
    <w:rsid w:val="004353AE"/>
    <w:rsid w:val="00435744"/>
    <w:rsid w:val="00440165"/>
    <w:rsid w:val="00441994"/>
    <w:rsid w:val="004477BF"/>
    <w:rsid w:val="0045133E"/>
    <w:rsid w:val="00452684"/>
    <w:rsid w:val="004535E4"/>
    <w:rsid w:val="00454110"/>
    <w:rsid w:val="00456DC7"/>
    <w:rsid w:val="004604FB"/>
    <w:rsid w:val="0046382A"/>
    <w:rsid w:val="00463BE3"/>
    <w:rsid w:val="00463D2A"/>
    <w:rsid w:val="004676FA"/>
    <w:rsid w:val="00474925"/>
    <w:rsid w:val="00477589"/>
    <w:rsid w:val="00477AF2"/>
    <w:rsid w:val="0048020E"/>
    <w:rsid w:val="0048520A"/>
    <w:rsid w:val="004857AC"/>
    <w:rsid w:val="00486BCB"/>
    <w:rsid w:val="00494ADE"/>
    <w:rsid w:val="004A0B1D"/>
    <w:rsid w:val="004A358A"/>
    <w:rsid w:val="004A4570"/>
    <w:rsid w:val="004A4F9B"/>
    <w:rsid w:val="004A5482"/>
    <w:rsid w:val="004B2C35"/>
    <w:rsid w:val="004B787A"/>
    <w:rsid w:val="004C3BDB"/>
    <w:rsid w:val="004C705E"/>
    <w:rsid w:val="004D3D29"/>
    <w:rsid w:val="004D5E02"/>
    <w:rsid w:val="004E26B3"/>
    <w:rsid w:val="004E66EC"/>
    <w:rsid w:val="004F019B"/>
    <w:rsid w:val="004F2493"/>
    <w:rsid w:val="004F27ED"/>
    <w:rsid w:val="004F3760"/>
    <w:rsid w:val="0050262B"/>
    <w:rsid w:val="0050417A"/>
    <w:rsid w:val="0050613B"/>
    <w:rsid w:val="00512A49"/>
    <w:rsid w:val="00514654"/>
    <w:rsid w:val="00514B3C"/>
    <w:rsid w:val="00521314"/>
    <w:rsid w:val="00523949"/>
    <w:rsid w:val="005317C5"/>
    <w:rsid w:val="00532028"/>
    <w:rsid w:val="00532923"/>
    <w:rsid w:val="00533F0F"/>
    <w:rsid w:val="005359AB"/>
    <w:rsid w:val="00543839"/>
    <w:rsid w:val="005462EE"/>
    <w:rsid w:val="005501EF"/>
    <w:rsid w:val="005522FC"/>
    <w:rsid w:val="00553B73"/>
    <w:rsid w:val="00557167"/>
    <w:rsid w:val="00560204"/>
    <w:rsid w:val="00560893"/>
    <w:rsid w:val="00562CEC"/>
    <w:rsid w:val="00565A8E"/>
    <w:rsid w:val="00572673"/>
    <w:rsid w:val="0057694D"/>
    <w:rsid w:val="00577FF5"/>
    <w:rsid w:val="00581052"/>
    <w:rsid w:val="005813C1"/>
    <w:rsid w:val="00585EE8"/>
    <w:rsid w:val="00586640"/>
    <w:rsid w:val="005945A4"/>
    <w:rsid w:val="00594FC7"/>
    <w:rsid w:val="00596D4E"/>
    <w:rsid w:val="00597AB0"/>
    <w:rsid w:val="005A0823"/>
    <w:rsid w:val="005A21D2"/>
    <w:rsid w:val="005A29C8"/>
    <w:rsid w:val="005A33A2"/>
    <w:rsid w:val="005A6140"/>
    <w:rsid w:val="005B0F2C"/>
    <w:rsid w:val="005B17BA"/>
    <w:rsid w:val="005B2574"/>
    <w:rsid w:val="005B38D7"/>
    <w:rsid w:val="005B3ED1"/>
    <w:rsid w:val="005C0938"/>
    <w:rsid w:val="005C69F1"/>
    <w:rsid w:val="005C7D52"/>
    <w:rsid w:val="005C7E86"/>
    <w:rsid w:val="005D2B57"/>
    <w:rsid w:val="005E2D20"/>
    <w:rsid w:val="005E349E"/>
    <w:rsid w:val="005E3AD2"/>
    <w:rsid w:val="005E686D"/>
    <w:rsid w:val="005F02BD"/>
    <w:rsid w:val="005F22AC"/>
    <w:rsid w:val="0061110F"/>
    <w:rsid w:val="00611AB0"/>
    <w:rsid w:val="00616666"/>
    <w:rsid w:val="00617428"/>
    <w:rsid w:val="0062006F"/>
    <w:rsid w:val="006217BF"/>
    <w:rsid w:val="00625A5C"/>
    <w:rsid w:val="006314CD"/>
    <w:rsid w:val="006348BA"/>
    <w:rsid w:val="00641437"/>
    <w:rsid w:val="00646AB7"/>
    <w:rsid w:val="00653358"/>
    <w:rsid w:val="0066064F"/>
    <w:rsid w:val="00660A10"/>
    <w:rsid w:val="00660B99"/>
    <w:rsid w:val="00662981"/>
    <w:rsid w:val="0066408F"/>
    <w:rsid w:val="006678C4"/>
    <w:rsid w:val="00671D90"/>
    <w:rsid w:val="00671DC9"/>
    <w:rsid w:val="00671E9F"/>
    <w:rsid w:val="00674815"/>
    <w:rsid w:val="0068154A"/>
    <w:rsid w:val="00683C21"/>
    <w:rsid w:val="006845F3"/>
    <w:rsid w:val="0068557B"/>
    <w:rsid w:val="00687C5D"/>
    <w:rsid w:val="0069159E"/>
    <w:rsid w:val="00693136"/>
    <w:rsid w:val="00693348"/>
    <w:rsid w:val="00693E77"/>
    <w:rsid w:val="00694ED7"/>
    <w:rsid w:val="00695AE0"/>
    <w:rsid w:val="00697CDB"/>
    <w:rsid w:val="006A0383"/>
    <w:rsid w:val="006A060F"/>
    <w:rsid w:val="006A50A4"/>
    <w:rsid w:val="006A5268"/>
    <w:rsid w:val="006A52E6"/>
    <w:rsid w:val="006A69DE"/>
    <w:rsid w:val="006A7A76"/>
    <w:rsid w:val="006B2A6E"/>
    <w:rsid w:val="006B43CD"/>
    <w:rsid w:val="006B47D1"/>
    <w:rsid w:val="006B49EC"/>
    <w:rsid w:val="006B7232"/>
    <w:rsid w:val="006C3D5B"/>
    <w:rsid w:val="006C798E"/>
    <w:rsid w:val="006D1505"/>
    <w:rsid w:val="006D2D0E"/>
    <w:rsid w:val="006D501D"/>
    <w:rsid w:val="006D68B9"/>
    <w:rsid w:val="006D7B9A"/>
    <w:rsid w:val="006E0A63"/>
    <w:rsid w:val="006E232D"/>
    <w:rsid w:val="006E5AFB"/>
    <w:rsid w:val="006F022F"/>
    <w:rsid w:val="006F19BE"/>
    <w:rsid w:val="006F3BB2"/>
    <w:rsid w:val="006F4177"/>
    <w:rsid w:val="006F46D5"/>
    <w:rsid w:val="006F4CDD"/>
    <w:rsid w:val="006F5B24"/>
    <w:rsid w:val="006F5CDB"/>
    <w:rsid w:val="006F628A"/>
    <w:rsid w:val="006F63F0"/>
    <w:rsid w:val="00701F7C"/>
    <w:rsid w:val="007031DB"/>
    <w:rsid w:val="00704032"/>
    <w:rsid w:val="007055EF"/>
    <w:rsid w:val="00705B82"/>
    <w:rsid w:val="0070653C"/>
    <w:rsid w:val="00710002"/>
    <w:rsid w:val="00710E8C"/>
    <w:rsid w:val="007113A9"/>
    <w:rsid w:val="00711BD9"/>
    <w:rsid w:val="00717850"/>
    <w:rsid w:val="00722090"/>
    <w:rsid w:val="00725464"/>
    <w:rsid w:val="00726448"/>
    <w:rsid w:val="007342CE"/>
    <w:rsid w:val="007403EE"/>
    <w:rsid w:val="007410B0"/>
    <w:rsid w:val="007443C1"/>
    <w:rsid w:val="00747D4C"/>
    <w:rsid w:val="00751C64"/>
    <w:rsid w:val="00753894"/>
    <w:rsid w:val="0075494C"/>
    <w:rsid w:val="00756CFE"/>
    <w:rsid w:val="007606DD"/>
    <w:rsid w:val="0076208D"/>
    <w:rsid w:val="0076260F"/>
    <w:rsid w:val="007630A9"/>
    <w:rsid w:val="007633FD"/>
    <w:rsid w:val="007638F9"/>
    <w:rsid w:val="007643CA"/>
    <w:rsid w:val="00773176"/>
    <w:rsid w:val="00773543"/>
    <w:rsid w:val="00773630"/>
    <w:rsid w:val="00776DA1"/>
    <w:rsid w:val="00785B92"/>
    <w:rsid w:val="00790319"/>
    <w:rsid w:val="007937B3"/>
    <w:rsid w:val="00795503"/>
    <w:rsid w:val="0079648D"/>
    <w:rsid w:val="007A0337"/>
    <w:rsid w:val="007A1C3F"/>
    <w:rsid w:val="007A1E5B"/>
    <w:rsid w:val="007A1F1E"/>
    <w:rsid w:val="007A3171"/>
    <w:rsid w:val="007A44A3"/>
    <w:rsid w:val="007A4D0D"/>
    <w:rsid w:val="007A6C44"/>
    <w:rsid w:val="007B0840"/>
    <w:rsid w:val="007B224E"/>
    <w:rsid w:val="007B7DAE"/>
    <w:rsid w:val="007C01DB"/>
    <w:rsid w:val="007C05DD"/>
    <w:rsid w:val="007C0B04"/>
    <w:rsid w:val="007C27A3"/>
    <w:rsid w:val="007C68B0"/>
    <w:rsid w:val="007D0F1E"/>
    <w:rsid w:val="007D3C60"/>
    <w:rsid w:val="007D3CED"/>
    <w:rsid w:val="007D558F"/>
    <w:rsid w:val="007D5AE4"/>
    <w:rsid w:val="007D62F3"/>
    <w:rsid w:val="007D6A9B"/>
    <w:rsid w:val="007E0958"/>
    <w:rsid w:val="007E2312"/>
    <w:rsid w:val="007E5693"/>
    <w:rsid w:val="007F0537"/>
    <w:rsid w:val="007F0FAC"/>
    <w:rsid w:val="007F2739"/>
    <w:rsid w:val="007F2D2A"/>
    <w:rsid w:val="007F5759"/>
    <w:rsid w:val="00802170"/>
    <w:rsid w:val="00802700"/>
    <w:rsid w:val="00803DBA"/>
    <w:rsid w:val="00807805"/>
    <w:rsid w:val="00811574"/>
    <w:rsid w:val="008120A8"/>
    <w:rsid w:val="00816F31"/>
    <w:rsid w:val="0081766A"/>
    <w:rsid w:val="00817E2E"/>
    <w:rsid w:val="008200BC"/>
    <w:rsid w:val="008244A9"/>
    <w:rsid w:val="00830101"/>
    <w:rsid w:val="00834C36"/>
    <w:rsid w:val="0083525B"/>
    <w:rsid w:val="008355C3"/>
    <w:rsid w:val="00837744"/>
    <w:rsid w:val="00841515"/>
    <w:rsid w:val="00841EC2"/>
    <w:rsid w:val="00845C4D"/>
    <w:rsid w:val="00852D4D"/>
    <w:rsid w:val="008547E3"/>
    <w:rsid w:val="0086330D"/>
    <w:rsid w:val="00865A3D"/>
    <w:rsid w:val="00870770"/>
    <w:rsid w:val="00870E75"/>
    <w:rsid w:val="00883D0F"/>
    <w:rsid w:val="0088675A"/>
    <w:rsid w:val="008871E4"/>
    <w:rsid w:val="00891CDD"/>
    <w:rsid w:val="00893A00"/>
    <w:rsid w:val="0089634A"/>
    <w:rsid w:val="008A19F0"/>
    <w:rsid w:val="008A2234"/>
    <w:rsid w:val="008B46C9"/>
    <w:rsid w:val="008B6FB8"/>
    <w:rsid w:val="008B70BA"/>
    <w:rsid w:val="008C0E46"/>
    <w:rsid w:val="008C1469"/>
    <w:rsid w:val="008C19A6"/>
    <w:rsid w:val="008C386E"/>
    <w:rsid w:val="008C542E"/>
    <w:rsid w:val="008C7C63"/>
    <w:rsid w:val="008D0DD5"/>
    <w:rsid w:val="008D3A54"/>
    <w:rsid w:val="008D5574"/>
    <w:rsid w:val="008D6FD0"/>
    <w:rsid w:val="008D7963"/>
    <w:rsid w:val="008E623B"/>
    <w:rsid w:val="008F3F59"/>
    <w:rsid w:val="008F44D0"/>
    <w:rsid w:val="008F5420"/>
    <w:rsid w:val="008F671F"/>
    <w:rsid w:val="008F71C4"/>
    <w:rsid w:val="008F7EF2"/>
    <w:rsid w:val="0090558B"/>
    <w:rsid w:val="00905E92"/>
    <w:rsid w:val="009064F1"/>
    <w:rsid w:val="00907306"/>
    <w:rsid w:val="00911500"/>
    <w:rsid w:val="0091448A"/>
    <w:rsid w:val="00915306"/>
    <w:rsid w:val="009157D5"/>
    <w:rsid w:val="009162EF"/>
    <w:rsid w:val="00916672"/>
    <w:rsid w:val="00916B2B"/>
    <w:rsid w:val="009237AB"/>
    <w:rsid w:val="00926BF4"/>
    <w:rsid w:val="009324AF"/>
    <w:rsid w:val="009329C2"/>
    <w:rsid w:val="00932AFB"/>
    <w:rsid w:val="0093340F"/>
    <w:rsid w:val="00947682"/>
    <w:rsid w:val="0095360E"/>
    <w:rsid w:val="00954B04"/>
    <w:rsid w:val="00954E98"/>
    <w:rsid w:val="0095607D"/>
    <w:rsid w:val="0095745D"/>
    <w:rsid w:val="00957794"/>
    <w:rsid w:val="009619BC"/>
    <w:rsid w:val="009642E3"/>
    <w:rsid w:val="00970341"/>
    <w:rsid w:val="009709B5"/>
    <w:rsid w:val="00974497"/>
    <w:rsid w:val="009764A7"/>
    <w:rsid w:val="0097779C"/>
    <w:rsid w:val="00977D10"/>
    <w:rsid w:val="00981159"/>
    <w:rsid w:val="00981A9A"/>
    <w:rsid w:val="0098788F"/>
    <w:rsid w:val="00990C2A"/>
    <w:rsid w:val="0099781F"/>
    <w:rsid w:val="009A0973"/>
    <w:rsid w:val="009A1CC4"/>
    <w:rsid w:val="009A6266"/>
    <w:rsid w:val="009A6441"/>
    <w:rsid w:val="009B0FCD"/>
    <w:rsid w:val="009B1C18"/>
    <w:rsid w:val="009B4569"/>
    <w:rsid w:val="009C0E3F"/>
    <w:rsid w:val="009C1251"/>
    <w:rsid w:val="009C12E9"/>
    <w:rsid w:val="009C44E9"/>
    <w:rsid w:val="009C5226"/>
    <w:rsid w:val="009D4F4E"/>
    <w:rsid w:val="009E09D4"/>
    <w:rsid w:val="009E1450"/>
    <w:rsid w:val="009E18B5"/>
    <w:rsid w:val="009E56BD"/>
    <w:rsid w:val="009F4CC0"/>
    <w:rsid w:val="009F7426"/>
    <w:rsid w:val="00A0425F"/>
    <w:rsid w:val="00A0474B"/>
    <w:rsid w:val="00A05ECB"/>
    <w:rsid w:val="00A074A0"/>
    <w:rsid w:val="00A07CAE"/>
    <w:rsid w:val="00A22391"/>
    <w:rsid w:val="00A22E5E"/>
    <w:rsid w:val="00A23176"/>
    <w:rsid w:val="00A27A0B"/>
    <w:rsid w:val="00A27C02"/>
    <w:rsid w:val="00A3091A"/>
    <w:rsid w:val="00A32B6D"/>
    <w:rsid w:val="00A40216"/>
    <w:rsid w:val="00A40935"/>
    <w:rsid w:val="00A40AFD"/>
    <w:rsid w:val="00A45E30"/>
    <w:rsid w:val="00A463D6"/>
    <w:rsid w:val="00A50C1D"/>
    <w:rsid w:val="00A57281"/>
    <w:rsid w:val="00A62124"/>
    <w:rsid w:val="00A653D9"/>
    <w:rsid w:val="00A71782"/>
    <w:rsid w:val="00A72F6C"/>
    <w:rsid w:val="00A75DCE"/>
    <w:rsid w:val="00A85EB2"/>
    <w:rsid w:val="00A863D2"/>
    <w:rsid w:val="00A86F24"/>
    <w:rsid w:val="00A86FED"/>
    <w:rsid w:val="00A874D1"/>
    <w:rsid w:val="00A94A41"/>
    <w:rsid w:val="00AA5658"/>
    <w:rsid w:val="00AA69A7"/>
    <w:rsid w:val="00AA6A56"/>
    <w:rsid w:val="00AB1400"/>
    <w:rsid w:val="00AB4271"/>
    <w:rsid w:val="00AB4D19"/>
    <w:rsid w:val="00AB505B"/>
    <w:rsid w:val="00AB5C64"/>
    <w:rsid w:val="00AC107D"/>
    <w:rsid w:val="00AC2A53"/>
    <w:rsid w:val="00AD17D1"/>
    <w:rsid w:val="00AD3769"/>
    <w:rsid w:val="00AE0C73"/>
    <w:rsid w:val="00AE0FFF"/>
    <w:rsid w:val="00AE27BD"/>
    <w:rsid w:val="00AE3250"/>
    <w:rsid w:val="00AF592B"/>
    <w:rsid w:val="00B003CA"/>
    <w:rsid w:val="00B008DF"/>
    <w:rsid w:val="00B0130D"/>
    <w:rsid w:val="00B01491"/>
    <w:rsid w:val="00B038D5"/>
    <w:rsid w:val="00B03B20"/>
    <w:rsid w:val="00B12A66"/>
    <w:rsid w:val="00B12ABD"/>
    <w:rsid w:val="00B15E94"/>
    <w:rsid w:val="00B175DE"/>
    <w:rsid w:val="00B202D4"/>
    <w:rsid w:val="00B22C95"/>
    <w:rsid w:val="00B252C0"/>
    <w:rsid w:val="00B31259"/>
    <w:rsid w:val="00B31361"/>
    <w:rsid w:val="00B35966"/>
    <w:rsid w:val="00B41B7C"/>
    <w:rsid w:val="00B42476"/>
    <w:rsid w:val="00B42996"/>
    <w:rsid w:val="00B42E5A"/>
    <w:rsid w:val="00B430B7"/>
    <w:rsid w:val="00B433CA"/>
    <w:rsid w:val="00B45BA0"/>
    <w:rsid w:val="00B46390"/>
    <w:rsid w:val="00B47BB3"/>
    <w:rsid w:val="00B5026A"/>
    <w:rsid w:val="00B50C3C"/>
    <w:rsid w:val="00B533A1"/>
    <w:rsid w:val="00B5454C"/>
    <w:rsid w:val="00B56916"/>
    <w:rsid w:val="00B6077C"/>
    <w:rsid w:val="00B60FBA"/>
    <w:rsid w:val="00B62D4D"/>
    <w:rsid w:val="00B63A78"/>
    <w:rsid w:val="00B70943"/>
    <w:rsid w:val="00B70C1A"/>
    <w:rsid w:val="00B73CCF"/>
    <w:rsid w:val="00B748F2"/>
    <w:rsid w:val="00B7564D"/>
    <w:rsid w:val="00B765FC"/>
    <w:rsid w:val="00B85AA0"/>
    <w:rsid w:val="00B94F94"/>
    <w:rsid w:val="00B960A4"/>
    <w:rsid w:val="00B960E8"/>
    <w:rsid w:val="00BA0F12"/>
    <w:rsid w:val="00BA447F"/>
    <w:rsid w:val="00BB12C3"/>
    <w:rsid w:val="00BB375B"/>
    <w:rsid w:val="00BB383A"/>
    <w:rsid w:val="00BB3C3F"/>
    <w:rsid w:val="00BB5340"/>
    <w:rsid w:val="00BC0ACA"/>
    <w:rsid w:val="00BC44D2"/>
    <w:rsid w:val="00BC4FC3"/>
    <w:rsid w:val="00BC58F0"/>
    <w:rsid w:val="00BD1822"/>
    <w:rsid w:val="00BD2AE4"/>
    <w:rsid w:val="00BE0AFE"/>
    <w:rsid w:val="00BE2063"/>
    <w:rsid w:val="00BE3360"/>
    <w:rsid w:val="00BE4E2E"/>
    <w:rsid w:val="00BE7244"/>
    <w:rsid w:val="00BF2468"/>
    <w:rsid w:val="00BF27BC"/>
    <w:rsid w:val="00C04F3D"/>
    <w:rsid w:val="00C07FB1"/>
    <w:rsid w:val="00C114C8"/>
    <w:rsid w:val="00C12BA0"/>
    <w:rsid w:val="00C17084"/>
    <w:rsid w:val="00C2076F"/>
    <w:rsid w:val="00C23342"/>
    <w:rsid w:val="00C27E3E"/>
    <w:rsid w:val="00C30A78"/>
    <w:rsid w:val="00C3224A"/>
    <w:rsid w:val="00C334DC"/>
    <w:rsid w:val="00C364F9"/>
    <w:rsid w:val="00C36DDE"/>
    <w:rsid w:val="00C41B33"/>
    <w:rsid w:val="00C4249B"/>
    <w:rsid w:val="00C44B02"/>
    <w:rsid w:val="00C45A77"/>
    <w:rsid w:val="00C5156E"/>
    <w:rsid w:val="00C531BB"/>
    <w:rsid w:val="00C62778"/>
    <w:rsid w:val="00C653E2"/>
    <w:rsid w:val="00C65A3E"/>
    <w:rsid w:val="00C7296A"/>
    <w:rsid w:val="00C74633"/>
    <w:rsid w:val="00C750E9"/>
    <w:rsid w:val="00C76FE9"/>
    <w:rsid w:val="00C7753F"/>
    <w:rsid w:val="00C816FD"/>
    <w:rsid w:val="00C857FC"/>
    <w:rsid w:val="00C91396"/>
    <w:rsid w:val="00C9228E"/>
    <w:rsid w:val="00C92A10"/>
    <w:rsid w:val="00C92D54"/>
    <w:rsid w:val="00C942F3"/>
    <w:rsid w:val="00C94DA5"/>
    <w:rsid w:val="00C9634E"/>
    <w:rsid w:val="00CA1ED3"/>
    <w:rsid w:val="00CA3E62"/>
    <w:rsid w:val="00CA5060"/>
    <w:rsid w:val="00CB5209"/>
    <w:rsid w:val="00CB6382"/>
    <w:rsid w:val="00CB6F6E"/>
    <w:rsid w:val="00CB71BA"/>
    <w:rsid w:val="00CD2CE3"/>
    <w:rsid w:val="00CD4C27"/>
    <w:rsid w:val="00CD5D3D"/>
    <w:rsid w:val="00CD7510"/>
    <w:rsid w:val="00CE35D2"/>
    <w:rsid w:val="00CE4757"/>
    <w:rsid w:val="00CE66B0"/>
    <w:rsid w:val="00CE74BE"/>
    <w:rsid w:val="00CF2A69"/>
    <w:rsid w:val="00CF74F2"/>
    <w:rsid w:val="00CF7965"/>
    <w:rsid w:val="00D01149"/>
    <w:rsid w:val="00D05B8D"/>
    <w:rsid w:val="00D07AE0"/>
    <w:rsid w:val="00D11725"/>
    <w:rsid w:val="00D13F42"/>
    <w:rsid w:val="00D15A3D"/>
    <w:rsid w:val="00D15AD7"/>
    <w:rsid w:val="00D200FB"/>
    <w:rsid w:val="00D25D8E"/>
    <w:rsid w:val="00D2738C"/>
    <w:rsid w:val="00D40778"/>
    <w:rsid w:val="00D40E86"/>
    <w:rsid w:val="00D41B17"/>
    <w:rsid w:val="00D43089"/>
    <w:rsid w:val="00D47C08"/>
    <w:rsid w:val="00D529B5"/>
    <w:rsid w:val="00D53A04"/>
    <w:rsid w:val="00D542D8"/>
    <w:rsid w:val="00D56223"/>
    <w:rsid w:val="00D57D3A"/>
    <w:rsid w:val="00D62006"/>
    <w:rsid w:val="00D646E7"/>
    <w:rsid w:val="00D64878"/>
    <w:rsid w:val="00D651AD"/>
    <w:rsid w:val="00D667D5"/>
    <w:rsid w:val="00D701F4"/>
    <w:rsid w:val="00D70A93"/>
    <w:rsid w:val="00D72029"/>
    <w:rsid w:val="00D75981"/>
    <w:rsid w:val="00D76750"/>
    <w:rsid w:val="00D77373"/>
    <w:rsid w:val="00D8011B"/>
    <w:rsid w:val="00D80536"/>
    <w:rsid w:val="00D8088B"/>
    <w:rsid w:val="00D82477"/>
    <w:rsid w:val="00D833CE"/>
    <w:rsid w:val="00D835F7"/>
    <w:rsid w:val="00D85656"/>
    <w:rsid w:val="00D935A8"/>
    <w:rsid w:val="00D94292"/>
    <w:rsid w:val="00D94448"/>
    <w:rsid w:val="00D9461F"/>
    <w:rsid w:val="00D947CC"/>
    <w:rsid w:val="00D958F2"/>
    <w:rsid w:val="00D9632D"/>
    <w:rsid w:val="00D9707C"/>
    <w:rsid w:val="00DA0927"/>
    <w:rsid w:val="00DA3031"/>
    <w:rsid w:val="00DA6742"/>
    <w:rsid w:val="00DB0473"/>
    <w:rsid w:val="00DB6C73"/>
    <w:rsid w:val="00DB6D2A"/>
    <w:rsid w:val="00DC0432"/>
    <w:rsid w:val="00DC1138"/>
    <w:rsid w:val="00DC21B5"/>
    <w:rsid w:val="00DC675D"/>
    <w:rsid w:val="00DC6B9E"/>
    <w:rsid w:val="00DD092F"/>
    <w:rsid w:val="00DD14DC"/>
    <w:rsid w:val="00DE0368"/>
    <w:rsid w:val="00DE0DE0"/>
    <w:rsid w:val="00DE2AB2"/>
    <w:rsid w:val="00DE35E8"/>
    <w:rsid w:val="00DE4979"/>
    <w:rsid w:val="00DF0F67"/>
    <w:rsid w:val="00DF1629"/>
    <w:rsid w:val="00DF2143"/>
    <w:rsid w:val="00DF3755"/>
    <w:rsid w:val="00DF4957"/>
    <w:rsid w:val="00DF4B33"/>
    <w:rsid w:val="00DF5DF6"/>
    <w:rsid w:val="00DF60AE"/>
    <w:rsid w:val="00DF7B9E"/>
    <w:rsid w:val="00E0049D"/>
    <w:rsid w:val="00E02F58"/>
    <w:rsid w:val="00E06BC1"/>
    <w:rsid w:val="00E06C01"/>
    <w:rsid w:val="00E107CD"/>
    <w:rsid w:val="00E10C93"/>
    <w:rsid w:val="00E12B6A"/>
    <w:rsid w:val="00E14817"/>
    <w:rsid w:val="00E1676F"/>
    <w:rsid w:val="00E2204A"/>
    <w:rsid w:val="00E22C50"/>
    <w:rsid w:val="00E347ED"/>
    <w:rsid w:val="00E36B4F"/>
    <w:rsid w:val="00E44652"/>
    <w:rsid w:val="00E4522B"/>
    <w:rsid w:val="00E46382"/>
    <w:rsid w:val="00E50A6B"/>
    <w:rsid w:val="00E5172E"/>
    <w:rsid w:val="00E544FF"/>
    <w:rsid w:val="00E55026"/>
    <w:rsid w:val="00E560DE"/>
    <w:rsid w:val="00E5680E"/>
    <w:rsid w:val="00E56C98"/>
    <w:rsid w:val="00E57DD5"/>
    <w:rsid w:val="00E57EDD"/>
    <w:rsid w:val="00E62043"/>
    <w:rsid w:val="00E634C4"/>
    <w:rsid w:val="00E66FED"/>
    <w:rsid w:val="00E679C3"/>
    <w:rsid w:val="00E70610"/>
    <w:rsid w:val="00E71AAA"/>
    <w:rsid w:val="00E7207B"/>
    <w:rsid w:val="00E72515"/>
    <w:rsid w:val="00E72CF3"/>
    <w:rsid w:val="00E76CAE"/>
    <w:rsid w:val="00E80711"/>
    <w:rsid w:val="00E8081D"/>
    <w:rsid w:val="00E85F79"/>
    <w:rsid w:val="00E91379"/>
    <w:rsid w:val="00E91A03"/>
    <w:rsid w:val="00E968FA"/>
    <w:rsid w:val="00EA533F"/>
    <w:rsid w:val="00EB2588"/>
    <w:rsid w:val="00EB2A5C"/>
    <w:rsid w:val="00EB62BB"/>
    <w:rsid w:val="00EC0031"/>
    <w:rsid w:val="00EC296A"/>
    <w:rsid w:val="00EC4246"/>
    <w:rsid w:val="00EC7086"/>
    <w:rsid w:val="00ED4230"/>
    <w:rsid w:val="00ED4989"/>
    <w:rsid w:val="00EE0205"/>
    <w:rsid w:val="00EE0910"/>
    <w:rsid w:val="00EE238D"/>
    <w:rsid w:val="00EE366F"/>
    <w:rsid w:val="00EE4B63"/>
    <w:rsid w:val="00F04658"/>
    <w:rsid w:val="00F05C4C"/>
    <w:rsid w:val="00F15785"/>
    <w:rsid w:val="00F170F8"/>
    <w:rsid w:val="00F20103"/>
    <w:rsid w:val="00F20921"/>
    <w:rsid w:val="00F209B2"/>
    <w:rsid w:val="00F26B10"/>
    <w:rsid w:val="00F303FC"/>
    <w:rsid w:val="00F31ED6"/>
    <w:rsid w:val="00F35027"/>
    <w:rsid w:val="00F36FA3"/>
    <w:rsid w:val="00F4294E"/>
    <w:rsid w:val="00F444BB"/>
    <w:rsid w:val="00F45C57"/>
    <w:rsid w:val="00F52604"/>
    <w:rsid w:val="00F53633"/>
    <w:rsid w:val="00F55974"/>
    <w:rsid w:val="00F55B44"/>
    <w:rsid w:val="00F6086B"/>
    <w:rsid w:val="00F60B05"/>
    <w:rsid w:val="00F641F8"/>
    <w:rsid w:val="00F66B62"/>
    <w:rsid w:val="00F71C31"/>
    <w:rsid w:val="00F763D3"/>
    <w:rsid w:val="00F8042C"/>
    <w:rsid w:val="00F8487C"/>
    <w:rsid w:val="00F85EA1"/>
    <w:rsid w:val="00F87227"/>
    <w:rsid w:val="00F92D07"/>
    <w:rsid w:val="00F9418E"/>
    <w:rsid w:val="00F97164"/>
    <w:rsid w:val="00FA05EC"/>
    <w:rsid w:val="00FA0C96"/>
    <w:rsid w:val="00FA1E1F"/>
    <w:rsid w:val="00FA4CC2"/>
    <w:rsid w:val="00FA513C"/>
    <w:rsid w:val="00FA67BE"/>
    <w:rsid w:val="00FB0C06"/>
    <w:rsid w:val="00FB1E19"/>
    <w:rsid w:val="00FB40A4"/>
    <w:rsid w:val="00FB6CD9"/>
    <w:rsid w:val="00FC2F3E"/>
    <w:rsid w:val="00FC3A21"/>
    <w:rsid w:val="00FC71CC"/>
    <w:rsid w:val="00FC769D"/>
    <w:rsid w:val="00FD2395"/>
    <w:rsid w:val="00FD7311"/>
    <w:rsid w:val="00FE0BA3"/>
    <w:rsid w:val="00FE30A4"/>
    <w:rsid w:val="00FE6934"/>
    <w:rsid w:val="00FF36AF"/>
    <w:rsid w:val="00FF383B"/>
    <w:rsid w:val="54A43D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3"/>
    <w:next w:val="1"/>
    <w:link w:val="17"/>
    <w:qFormat/>
    <w:uiPriority w:val="0"/>
    <w:pPr>
      <w:snapToGrid w:val="0"/>
      <w:spacing w:before="0" w:after="0" w:line="600" w:lineRule="exact"/>
      <w:ind w:firstLine="640" w:firstLineChars="200"/>
      <w:jc w:val="both"/>
    </w:pPr>
    <w:rPr>
      <w:rFonts w:ascii="黑体" w:hAnsi="Times new roan" w:eastAsia="黑体" w:cs="Times New Roman"/>
      <w:b w:val="0"/>
      <w:bCs w:val="0"/>
      <w:color w:val="000000" w:themeColor="text1"/>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link w:val="18"/>
    <w:qFormat/>
    <w:uiPriority w:val="10"/>
    <w:pPr>
      <w:spacing w:before="240" w:after="60"/>
      <w:jc w:val="center"/>
      <w:outlineLvl w:val="0"/>
    </w:pPr>
    <w:rPr>
      <w:rFonts w:asciiTheme="majorHAnsi" w:hAnsiTheme="majorHAnsi" w:eastAsiaTheme="majorEastAsia" w:cstheme="majorBidi"/>
      <w:b/>
      <w:bCs/>
      <w:sz w:val="32"/>
      <w:szCs w:val="32"/>
    </w:rPr>
  </w:style>
  <w:style w:type="paragraph" w:styleId="4">
    <w:name w:val="annotation text"/>
    <w:basedOn w:val="1"/>
    <w:link w:val="19"/>
    <w:semiHidden/>
    <w:unhideWhenUsed/>
    <w:uiPriority w:val="99"/>
    <w:pPr>
      <w:jc w:val="left"/>
    </w:pPr>
  </w:style>
  <w:style w:type="paragraph" w:styleId="5">
    <w:name w:val="Balloon Text"/>
    <w:basedOn w:val="1"/>
    <w:link w:val="14"/>
    <w:semiHidden/>
    <w:unhideWhenUsed/>
    <w:uiPriority w:val="99"/>
    <w:rPr>
      <w:sz w:val="18"/>
      <w:szCs w:val="18"/>
    </w:rPr>
  </w:style>
  <w:style w:type="paragraph" w:styleId="6">
    <w:name w:val="footer"/>
    <w:basedOn w:val="1"/>
    <w:link w:val="16"/>
    <w:unhideWhenUsed/>
    <w:uiPriority w:val="99"/>
    <w:pPr>
      <w:tabs>
        <w:tab w:val="center" w:pos="4153"/>
        <w:tab w:val="right" w:pos="8306"/>
      </w:tabs>
      <w:snapToGrid w:val="0"/>
      <w:jc w:val="left"/>
    </w:pPr>
    <w:rPr>
      <w:sz w:val="18"/>
      <w:szCs w:val="18"/>
    </w:rPr>
  </w:style>
  <w:style w:type="paragraph" w:styleId="7">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20"/>
    <w:semiHidden/>
    <w:unhideWhenUsed/>
    <w:uiPriority w:val="99"/>
    <w:rPr>
      <w:b/>
      <w:bCs/>
    </w:rPr>
  </w:style>
  <w:style w:type="table" w:styleId="10">
    <w:name w:val="Table Grid"/>
    <w:basedOn w:val="9"/>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annotation reference"/>
    <w:basedOn w:val="11"/>
    <w:semiHidden/>
    <w:unhideWhenUsed/>
    <w:uiPriority w:val="99"/>
    <w:rPr>
      <w:sz w:val="21"/>
      <w:szCs w:val="21"/>
    </w:rPr>
  </w:style>
  <w:style w:type="paragraph" w:styleId="13">
    <w:name w:val="List Paragraph"/>
    <w:basedOn w:val="1"/>
    <w:qFormat/>
    <w:uiPriority w:val="34"/>
    <w:pPr>
      <w:ind w:firstLine="420" w:firstLineChars="200"/>
    </w:pPr>
  </w:style>
  <w:style w:type="character" w:customStyle="1" w:styleId="14">
    <w:name w:val="批注框文本 Char"/>
    <w:basedOn w:val="11"/>
    <w:link w:val="5"/>
    <w:semiHidden/>
    <w:uiPriority w:val="99"/>
    <w:rPr>
      <w:sz w:val="18"/>
      <w:szCs w:val="18"/>
    </w:rPr>
  </w:style>
  <w:style w:type="character" w:customStyle="1" w:styleId="15">
    <w:name w:val="页眉 Char"/>
    <w:basedOn w:val="11"/>
    <w:link w:val="7"/>
    <w:uiPriority w:val="99"/>
    <w:rPr>
      <w:sz w:val="18"/>
      <w:szCs w:val="18"/>
    </w:rPr>
  </w:style>
  <w:style w:type="character" w:customStyle="1" w:styleId="16">
    <w:name w:val="页脚 Char"/>
    <w:basedOn w:val="11"/>
    <w:link w:val="6"/>
    <w:uiPriority w:val="99"/>
    <w:rPr>
      <w:sz w:val="18"/>
      <w:szCs w:val="18"/>
    </w:rPr>
  </w:style>
  <w:style w:type="character" w:customStyle="1" w:styleId="17">
    <w:name w:val="标题 1 Char"/>
    <w:basedOn w:val="11"/>
    <w:link w:val="2"/>
    <w:uiPriority w:val="0"/>
    <w:rPr>
      <w:rFonts w:ascii="黑体" w:hAnsi="Times new roan" w:eastAsia="黑体" w:cs="Times New Roman"/>
      <w:color w:val="000000" w:themeColor="text1"/>
      <w:sz w:val="32"/>
      <w:szCs w:val="32"/>
    </w:rPr>
  </w:style>
  <w:style w:type="character" w:customStyle="1" w:styleId="18">
    <w:name w:val="标题 Char"/>
    <w:basedOn w:val="11"/>
    <w:link w:val="3"/>
    <w:uiPriority w:val="10"/>
    <w:rPr>
      <w:rFonts w:asciiTheme="majorHAnsi" w:hAnsiTheme="majorHAnsi" w:eastAsiaTheme="majorEastAsia" w:cstheme="majorBidi"/>
      <w:b/>
      <w:bCs/>
      <w:sz w:val="32"/>
      <w:szCs w:val="32"/>
    </w:rPr>
  </w:style>
  <w:style w:type="character" w:customStyle="1" w:styleId="19">
    <w:name w:val="批注文字 Char"/>
    <w:basedOn w:val="11"/>
    <w:link w:val="4"/>
    <w:semiHidden/>
    <w:uiPriority w:val="99"/>
  </w:style>
  <w:style w:type="character" w:customStyle="1" w:styleId="20">
    <w:name w:val="批注主题 Char"/>
    <w:basedOn w:val="19"/>
    <w:link w:val="8"/>
    <w:semiHidden/>
    <w:uiPriority w:val="99"/>
    <w:rPr>
      <w:b/>
      <w:bCs/>
    </w:rPr>
  </w:style>
  <w:style w:type="character" w:styleId="21">
    <w:name w:val="Placeholder Text"/>
    <w:basedOn w:val="11"/>
    <w:semiHidden/>
    <w:uiPriority w:val="99"/>
    <w:rPr>
      <w:color w:val="808080"/>
    </w:rPr>
  </w:style>
  <w:style w:type="paragraph" w:customStyle="1" w:styleId="22">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F9334F-2C3E-4A2B-92CF-68133577F298}">
  <ds:schemaRefs/>
</ds:datastoreItem>
</file>

<file path=docProps/app.xml><?xml version="1.0" encoding="utf-8"?>
<Properties xmlns="http://schemas.openxmlformats.org/officeDocument/2006/extended-properties" xmlns:vt="http://schemas.openxmlformats.org/officeDocument/2006/docPropsVTypes">
  <Template>Normal</Template>
  <Pages>6</Pages>
  <Words>369</Words>
  <Characters>2106</Characters>
  <Lines>17</Lines>
  <Paragraphs>4</Paragraphs>
  <TotalTime>126</TotalTime>
  <ScaleCrop>false</ScaleCrop>
  <LinksUpToDate>false</LinksUpToDate>
  <CharactersWithSpaces>2471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2021-09-16T09:02:00Z</dcterms:created>
  <dc:creator>c</dc:creator>
  <cp:lastModifiedBy>张爽</cp:lastModifiedBy>
  <cp:lastPrinted>2021-11-09T03:25:00Z</cp:lastPrinted>
  <dcterms:modified xsi:type="dcterms:W3CDTF">2021-11-12T07:30:41Z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9CE4943BDC5F4C61BA286EED8DFC4343</vt:lpwstr>
  </property>
</Properties>
</file>