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ind w:left="0" w:leftChars="0" w:firstLine="0" w:firstLineChars="0"/>
        <w:rPr>
          <w:rFonts w:hint="eastAsia" w:ascii="黑体" w:hAnsi="黑体" w:eastAsia="黑体" w:cs="黑体"/>
          <w:sz w:val="30"/>
          <w:szCs w:val="30"/>
          <w:lang w:val="en-US" w:eastAsia="zh-CN"/>
        </w:rPr>
      </w:pPr>
      <w:bookmarkStart w:id="0" w:name="_GoBack"/>
      <w:bookmarkEnd w:id="0"/>
      <w:r>
        <w:rPr>
          <w:rFonts w:hint="eastAsia" w:ascii="黑体" w:hAnsi="黑体" w:eastAsia="黑体" w:cs="黑体"/>
          <w:sz w:val="30"/>
          <w:szCs w:val="30"/>
          <w:lang w:val="en-US" w:eastAsia="zh-CN"/>
        </w:rPr>
        <w:t>附件2</w:t>
      </w:r>
    </w:p>
    <w:p>
      <w:pPr>
        <w:bidi w:val="0"/>
        <w:rPr>
          <w:rFonts w:hint="eastAsia"/>
        </w:rPr>
      </w:pPr>
    </w:p>
    <w:p>
      <w:pPr>
        <w:bidi w:val="0"/>
        <w:rPr>
          <w:rFonts w:hint="eastAsia"/>
        </w:rPr>
      </w:pPr>
    </w:p>
    <w:p>
      <w:pPr>
        <w:pStyle w:val="2"/>
        <w:bidi w:val="0"/>
        <w:rPr>
          <w:rFonts w:hint="eastAsia"/>
        </w:rPr>
      </w:pPr>
      <w:r>
        <w:rPr>
          <w:rFonts w:hint="eastAsia"/>
        </w:rPr>
        <w:t>关于《电力</w:t>
      </w:r>
      <w:r>
        <w:rPr>
          <w:rFonts w:hint="eastAsia"/>
          <w:lang w:val="en-US" w:eastAsia="zh-CN"/>
        </w:rPr>
        <w:t>生产</w:t>
      </w:r>
      <w:r>
        <w:rPr>
          <w:rFonts w:hint="eastAsia"/>
        </w:rPr>
        <w:t>安全隐患监督管理规定</w:t>
      </w:r>
    </w:p>
    <w:p>
      <w:pPr>
        <w:pStyle w:val="2"/>
        <w:bidi w:val="0"/>
        <w:rPr>
          <w:rFonts w:hint="eastAsia"/>
        </w:rPr>
      </w:pPr>
      <w:r>
        <w:rPr>
          <w:rFonts w:hint="eastAsia"/>
          <w:lang w:eastAsia="zh-CN"/>
        </w:rPr>
        <w:t>（</w:t>
      </w:r>
      <w:r>
        <w:rPr>
          <w:rFonts w:hint="eastAsia"/>
          <w:lang w:val="en-US" w:eastAsia="zh-CN"/>
        </w:rPr>
        <w:t>修订稿</w:t>
      </w:r>
      <w:r>
        <w:rPr>
          <w:rFonts w:hint="eastAsia"/>
          <w:lang w:eastAsia="zh-CN"/>
        </w:rPr>
        <w:t>）</w:t>
      </w:r>
      <w:r>
        <w:rPr>
          <w:rFonts w:hint="eastAsia"/>
        </w:rPr>
        <w:t>》的修订说明</w:t>
      </w:r>
    </w:p>
    <w:p>
      <w:pPr>
        <w:keepNext w:val="0"/>
        <w:keepLines w:val="0"/>
        <w:pageBreakBefore w:val="0"/>
        <w:kinsoku/>
        <w:wordWrap/>
        <w:overflowPunct/>
        <w:topLinePunct w:val="0"/>
        <w:bidi w:val="0"/>
        <w:adjustRightInd w:val="0"/>
        <w:snapToGrid w:val="0"/>
        <w:spacing w:line="578" w:lineRule="exact"/>
        <w:ind w:left="0" w:leftChars="0" w:firstLine="640" w:firstLineChars="200"/>
        <w:rPr>
          <w:rFonts w:ascii="仿宋_GB2312" w:hAnsi="Times New Roman" w:eastAsia="仿宋" w:cs="Times New Roman"/>
          <w:sz w:val="32"/>
          <w:szCs w:val="32"/>
        </w:rPr>
      </w:pPr>
    </w:p>
    <w:p>
      <w:pPr>
        <w:bidi w:val="0"/>
      </w:pPr>
      <w:r>
        <w:rPr>
          <w:rFonts w:hint="eastAsia"/>
        </w:rPr>
        <w:t>为深入贯彻</w:t>
      </w:r>
      <w:r>
        <w:rPr>
          <w:rFonts w:hint="eastAsia"/>
          <w:lang w:val="en-US" w:eastAsia="zh-CN"/>
        </w:rPr>
        <w:t>党中央、国务院</w:t>
      </w:r>
      <w:r>
        <w:rPr>
          <w:rFonts w:hint="eastAsia"/>
          <w:lang w:eastAsia="zh-CN"/>
        </w:rPr>
        <w:t>关于</w:t>
      </w:r>
      <w:r>
        <w:rPr>
          <w:rFonts w:hint="eastAsia"/>
        </w:rPr>
        <w:t>安全生产</w:t>
      </w:r>
      <w:r>
        <w:rPr>
          <w:rFonts w:hint="eastAsia"/>
          <w:lang w:eastAsia="zh-CN"/>
        </w:rPr>
        <w:t>的</w:t>
      </w:r>
      <w:r>
        <w:rPr>
          <w:rFonts w:hint="eastAsia"/>
        </w:rPr>
        <w:t>决策部署，</w:t>
      </w:r>
      <w:r>
        <w:rPr>
          <w:rFonts w:hint="eastAsia"/>
          <w:lang w:eastAsia="zh-CN"/>
        </w:rPr>
        <w:t>认真落实《</w:t>
      </w:r>
      <w:r>
        <w:rPr>
          <w:rFonts w:hint="eastAsia"/>
          <w:lang w:val="en-US" w:eastAsia="zh-CN"/>
        </w:rPr>
        <w:t>安全生产法》等法</w:t>
      </w:r>
      <w:r>
        <w:rPr>
          <w:rFonts w:hint="eastAsia"/>
        </w:rPr>
        <w:t>律法规</w:t>
      </w:r>
      <w:r>
        <w:rPr>
          <w:rFonts w:hint="eastAsia"/>
          <w:lang w:val="en-US" w:eastAsia="zh-CN"/>
        </w:rPr>
        <w:t>关于生产安全</w:t>
      </w:r>
      <w:r>
        <w:rPr>
          <w:rFonts w:hint="eastAsia"/>
          <w:lang w:eastAsia="zh-CN"/>
        </w:rPr>
        <w:t>隐患排查治理</w:t>
      </w:r>
      <w:r>
        <w:rPr>
          <w:rFonts w:hint="eastAsia"/>
          <w:lang w:val="en-US" w:eastAsia="zh-CN"/>
        </w:rPr>
        <w:t>最新规定</w:t>
      </w:r>
      <w:r>
        <w:rPr>
          <w:rFonts w:hint="eastAsia"/>
        </w:rPr>
        <w:t>，</w:t>
      </w:r>
      <w:r>
        <w:rPr>
          <w:rFonts w:hint="eastAsia"/>
          <w:lang w:val="en-US" w:eastAsia="zh-CN"/>
        </w:rPr>
        <w:t>进一步强化电力生产安全隐患排查治理有关工作，维护全国电力安全生产形势平稳，国家能源局组织开展了</w:t>
      </w:r>
      <w:r>
        <w:rPr>
          <w:rFonts w:hint="eastAsia"/>
        </w:rPr>
        <w:t>《电力安全隐患监督管理暂行规定》</w:t>
      </w:r>
      <w:r>
        <w:rPr>
          <w:rFonts w:hint="eastAsia"/>
          <w:lang w:eastAsia="zh-CN"/>
        </w:rPr>
        <w:t>（</w:t>
      </w:r>
      <w:r>
        <w:rPr>
          <w:rFonts w:hint="eastAsia"/>
          <w:lang w:val="en-US" w:eastAsia="zh-CN"/>
        </w:rPr>
        <w:t>电监安全﹝2013﹞5号）修订工作</w:t>
      </w:r>
      <w:r>
        <w:rPr>
          <w:rFonts w:hint="eastAsia"/>
          <w:lang w:eastAsia="zh-CN"/>
        </w:rPr>
        <w:t>。</w:t>
      </w:r>
      <w:r>
        <w:rPr>
          <w:rFonts w:hint="eastAsia"/>
        </w:rPr>
        <w:t>有关情况</w:t>
      </w:r>
      <w:r>
        <w:rPr>
          <w:rFonts w:hint="eastAsia"/>
          <w:lang w:eastAsia="zh-CN"/>
        </w:rPr>
        <w:t>说明</w:t>
      </w:r>
      <w:r>
        <w:rPr>
          <w:rFonts w:hint="eastAsia"/>
        </w:rPr>
        <w:t>如下。</w:t>
      </w:r>
    </w:p>
    <w:p>
      <w:pPr>
        <w:pStyle w:val="4"/>
        <w:bidi w:val="0"/>
      </w:pPr>
      <w:r>
        <w:rPr>
          <w:rFonts w:hint="eastAsia"/>
        </w:rPr>
        <w:t>修订</w:t>
      </w:r>
      <w:r>
        <w:rPr>
          <w:rFonts w:hint="eastAsia"/>
          <w:lang w:val="en-US" w:eastAsia="zh-CN"/>
        </w:rPr>
        <w:t>必要性</w:t>
      </w:r>
    </w:p>
    <w:p>
      <w:pPr>
        <w:keepNext w:val="0"/>
        <w:keepLines w:val="0"/>
        <w:kinsoku/>
        <w:wordWrap/>
        <w:overflowPunct/>
        <w:topLinePunct w:val="0"/>
        <w:bidi w:val="0"/>
        <w:spacing w:line="578" w:lineRule="exact"/>
        <w:ind w:left="0" w:leftChars="0"/>
        <w:rPr>
          <w:rFonts w:hint="default" w:ascii="仿宋_GB2312" w:eastAsia="仿宋"/>
          <w:sz w:val="32"/>
          <w:szCs w:val="32"/>
          <w:lang w:val="en-US"/>
        </w:rPr>
      </w:pPr>
      <w:r>
        <w:rPr>
          <w:rFonts w:hint="eastAsia" w:ascii="仿宋_GB2312"/>
          <w:b/>
          <w:bCs/>
          <w:sz w:val="32"/>
          <w:szCs w:val="32"/>
          <w:lang w:val="en-US" w:eastAsia="zh-CN"/>
        </w:rPr>
        <w:t>一是落实党中央、国务院有关决策部署及法律法规的必然要求。</w:t>
      </w:r>
      <w:r>
        <w:rPr>
          <w:rFonts w:hint="eastAsia" w:ascii="仿宋_GB2312" w:eastAsia="仿宋"/>
          <w:sz w:val="32"/>
          <w:szCs w:val="32"/>
        </w:rPr>
        <w:t>党中央、国务院高度重视安全</w:t>
      </w:r>
      <w:r>
        <w:rPr>
          <w:rFonts w:hint="eastAsia" w:ascii="仿宋_GB2312" w:eastAsia="仿宋"/>
          <w:sz w:val="32"/>
          <w:szCs w:val="32"/>
          <w:lang w:eastAsia="zh-CN"/>
        </w:rPr>
        <w:t>生产工作，</w:t>
      </w:r>
      <w:r>
        <w:rPr>
          <w:rFonts w:hint="eastAsia" w:ascii="仿宋_GB2312" w:eastAsia="仿宋"/>
          <w:sz w:val="32"/>
          <w:szCs w:val="32"/>
        </w:rPr>
        <w:t>近年来</w:t>
      </w:r>
      <w:r>
        <w:rPr>
          <w:rFonts w:hint="eastAsia" w:ascii="仿宋_GB2312"/>
          <w:sz w:val="32"/>
          <w:szCs w:val="32"/>
          <w:lang w:eastAsia="zh-CN"/>
        </w:rPr>
        <w:t>，</w:t>
      </w:r>
      <w:r>
        <w:rPr>
          <w:rFonts w:hint="eastAsia" w:ascii="仿宋_GB2312"/>
          <w:sz w:val="32"/>
          <w:szCs w:val="32"/>
          <w:lang w:val="en-US" w:eastAsia="zh-CN"/>
        </w:rPr>
        <w:t>先后</w:t>
      </w:r>
      <w:r>
        <w:rPr>
          <w:rFonts w:hint="eastAsia" w:ascii="仿宋_GB2312" w:eastAsia="仿宋"/>
          <w:sz w:val="32"/>
          <w:szCs w:val="32"/>
          <w:lang w:eastAsia="zh-CN"/>
        </w:rPr>
        <w:t>出台</w:t>
      </w:r>
      <w:r>
        <w:rPr>
          <w:rFonts w:hint="eastAsia" w:ascii="仿宋_GB2312"/>
          <w:sz w:val="32"/>
          <w:szCs w:val="32"/>
          <w:lang w:eastAsia="zh-CN"/>
        </w:rPr>
        <w:t>了</w:t>
      </w:r>
      <w:r>
        <w:rPr>
          <w:rFonts w:hint="eastAsia" w:ascii="仿宋_GB2312" w:eastAsia="仿宋"/>
          <w:sz w:val="32"/>
          <w:szCs w:val="32"/>
        </w:rPr>
        <w:t>《关于推进安全生产领域改革发展的意见》</w:t>
      </w:r>
      <w:r>
        <w:rPr>
          <w:rFonts w:hint="eastAsia" w:ascii="仿宋_GB2312" w:eastAsia="仿宋"/>
          <w:sz w:val="32"/>
          <w:szCs w:val="32"/>
          <w:lang w:eastAsia="zh-CN"/>
        </w:rPr>
        <w:t>，</w:t>
      </w:r>
      <w:r>
        <w:rPr>
          <w:rFonts w:hint="eastAsia" w:ascii="仿宋_GB2312" w:eastAsia="仿宋"/>
          <w:sz w:val="32"/>
          <w:szCs w:val="32"/>
        </w:rPr>
        <w:t>颁布</w:t>
      </w:r>
      <w:r>
        <w:rPr>
          <w:rFonts w:hint="eastAsia" w:ascii="仿宋_GB2312" w:eastAsia="仿宋"/>
          <w:sz w:val="32"/>
          <w:szCs w:val="32"/>
          <w:lang w:eastAsia="zh-CN"/>
        </w:rPr>
        <w:t>施行</w:t>
      </w:r>
      <w:r>
        <w:rPr>
          <w:rFonts w:hint="eastAsia" w:ascii="仿宋_GB2312"/>
          <w:sz w:val="32"/>
          <w:szCs w:val="32"/>
          <w:lang w:eastAsia="zh-CN"/>
        </w:rPr>
        <w:t>了</w:t>
      </w:r>
      <w:r>
        <w:rPr>
          <w:rFonts w:hint="eastAsia" w:ascii="仿宋_GB2312" w:eastAsia="仿宋"/>
          <w:sz w:val="32"/>
          <w:szCs w:val="32"/>
        </w:rPr>
        <w:t>《刑法修正案（十一）》</w:t>
      </w:r>
      <w:r>
        <w:rPr>
          <w:rFonts w:hint="eastAsia" w:ascii="仿宋_GB2312" w:eastAsia="仿宋"/>
          <w:sz w:val="32"/>
          <w:szCs w:val="32"/>
          <w:lang w:eastAsia="zh-CN"/>
        </w:rPr>
        <w:t>和</w:t>
      </w:r>
      <w:r>
        <w:rPr>
          <w:rFonts w:hint="eastAsia" w:ascii="仿宋_GB2312" w:eastAsia="仿宋"/>
          <w:sz w:val="32"/>
          <w:szCs w:val="32"/>
        </w:rPr>
        <w:t>新</w:t>
      </w:r>
      <w:r>
        <w:rPr>
          <w:rFonts w:hint="eastAsia" w:ascii="仿宋_GB2312"/>
          <w:sz w:val="32"/>
          <w:szCs w:val="32"/>
          <w:lang w:val="en-US" w:eastAsia="zh-CN"/>
        </w:rPr>
        <w:t>修订了</w:t>
      </w:r>
      <w:r>
        <w:rPr>
          <w:rFonts w:hint="eastAsia" w:ascii="仿宋_GB2312" w:eastAsia="仿宋"/>
          <w:sz w:val="32"/>
          <w:szCs w:val="32"/>
        </w:rPr>
        <w:t>《安全生产法》</w:t>
      </w:r>
      <w:r>
        <w:rPr>
          <w:rFonts w:hint="eastAsia" w:ascii="仿宋_GB2312"/>
          <w:sz w:val="32"/>
          <w:szCs w:val="32"/>
          <w:lang w:val="en-US" w:eastAsia="zh-CN"/>
        </w:rPr>
        <w:t>，</w:t>
      </w:r>
      <w:r>
        <w:rPr>
          <w:rFonts w:hint="eastAsia" w:ascii="仿宋_GB2312" w:eastAsia="仿宋"/>
          <w:sz w:val="32"/>
          <w:szCs w:val="32"/>
          <w:lang w:eastAsia="zh-CN"/>
        </w:rPr>
        <w:t>在严格责任落实、</w:t>
      </w:r>
      <w:r>
        <w:rPr>
          <w:rFonts w:hint="eastAsia" w:ascii="仿宋_GB2312"/>
          <w:sz w:val="32"/>
          <w:szCs w:val="32"/>
          <w:lang w:val="en-US" w:eastAsia="zh-CN"/>
        </w:rPr>
        <w:t>强化</w:t>
      </w:r>
      <w:r>
        <w:rPr>
          <w:rFonts w:hint="eastAsia" w:ascii="仿宋_GB2312" w:eastAsia="仿宋"/>
          <w:sz w:val="32"/>
          <w:szCs w:val="32"/>
          <w:lang w:eastAsia="zh-CN"/>
        </w:rPr>
        <w:t>问责处罚等方面</w:t>
      </w:r>
      <w:r>
        <w:rPr>
          <w:rFonts w:hint="eastAsia" w:ascii="仿宋_GB2312" w:eastAsia="仿宋"/>
          <w:sz w:val="32"/>
          <w:szCs w:val="32"/>
        </w:rPr>
        <w:t>对</w:t>
      </w:r>
      <w:r>
        <w:rPr>
          <w:rFonts w:hint="eastAsia" w:ascii="仿宋_GB2312"/>
          <w:sz w:val="32"/>
          <w:szCs w:val="32"/>
          <w:lang w:val="en-US" w:eastAsia="zh-CN"/>
        </w:rPr>
        <w:t>生产安全</w:t>
      </w:r>
      <w:r>
        <w:rPr>
          <w:rFonts w:hint="eastAsia" w:ascii="仿宋_GB2312" w:eastAsia="仿宋"/>
          <w:sz w:val="32"/>
          <w:szCs w:val="32"/>
        </w:rPr>
        <w:t>隐患排查治理</w:t>
      </w:r>
      <w:r>
        <w:rPr>
          <w:rFonts w:hint="eastAsia" w:ascii="仿宋_GB2312" w:eastAsia="仿宋"/>
          <w:sz w:val="32"/>
          <w:szCs w:val="32"/>
          <w:lang w:eastAsia="zh-CN"/>
        </w:rPr>
        <w:t>工作提出一系列</w:t>
      </w:r>
      <w:r>
        <w:rPr>
          <w:rFonts w:hint="eastAsia" w:ascii="仿宋_GB2312" w:eastAsia="仿宋"/>
          <w:sz w:val="32"/>
          <w:szCs w:val="32"/>
        </w:rPr>
        <w:t>新要求。</w:t>
      </w:r>
    </w:p>
    <w:p>
      <w:pPr>
        <w:keepNext w:val="0"/>
        <w:keepLines w:val="0"/>
        <w:kinsoku/>
        <w:wordWrap/>
        <w:overflowPunct/>
        <w:topLinePunct w:val="0"/>
        <w:bidi w:val="0"/>
        <w:spacing w:line="578" w:lineRule="exact"/>
        <w:ind w:left="0" w:leftChars="0"/>
        <w:rPr>
          <w:rFonts w:hint="default" w:ascii="仿宋_GB2312"/>
          <w:sz w:val="32"/>
          <w:szCs w:val="32"/>
          <w:lang w:val="en-US" w:eastAsia="zh-CN"/>
        </w:rPr>
      </w:pPr>
      <w:r>
        <w:rPr>
          <w:rFonts w:hint="eastAsia" w:ascii="仿宋_GB2312"/>
          <w:b/>
          <w:bCs/>
          <w:sz w:val="32"/>
          <w:szCs w:val="32"/>
          <w:lang w:val="en-US" w:eastAsia="zh-CN"/>
        </w:rPr>
        <w:t>二是适应电力行业安全监督管理新形势的客观需要。</w:t>
      </w:r>
      <w:r>
        <w:rPr>
          <w:rFonts w:hint="eastAsia" w:ascii="仿宋_GB2312"/>
          <w:b w:val="0"/>
          <w:bCs w:val="0"/>
          <w:sz w:val="32"/>
          <w:szCs w:val="32"/>
          <w:lang w:val="en-US" w:eastAsia="zh-CN"/>
        </w:rPr>
        <w:t>近年来，</w:t>
      </w:r>
      <w:r>
        <w:rPr>
          <w:rFonts w:hint="eastAsia" w:ascii="仿宋_GB2312"/>
          <w:sz w:val="32"/>
          <w:szCs w:val="32"/>
          <w:lang w:val="en-US" w:eastAsia="zh-CN"/>
        </w:rPr>
        <w:t>电力行业落实“三管三必须”要求，初步构建形成“齐抓共管”机制，地方电力管理部门在电力安全生产监督管理中的作用愈加重要，相比原国家电监会时期，隐患排查监督管理责任主体范围扩大。另外，电力企业安全隐患排查治理工作不断深化，形成了一些典型经验做法，需要及时吸收并在全行业推广应用。</w:t>
      </w:r>
    </w:p>
    <w:p>
      <w:pPr>
        <w:pStyle w:val="4"/>
        <w:bidi w:val="0"/>
      </w:pPr>
      <w:r>
        <w:rPr>
          <w:rFonts w:hint="eastAsia"/>
        </w:rPr>
        <w:t>修订过程</w:t>
      </w:r>
    </w:p>
    <w:p>
      <w:pPr>
        <w:bidi w:val="0"/>
        <w:rPr>
          <w:rFonts w:hint="default"/>
          <w:lang w:val="en-US" w:eastAsia="zh-CN"/>
        </w:rPr>
      </w:pPr>
      <w:r>
        <w:rPr>
          <w:rFonts w:hint="eastAsia"/>
          <w:lang w:val="en-US" w:eastAsia="zh-CN"/>
        </w:rPr>
        <w:t>根据国家能源局规范性文件制修订计划，</w:t>
      </w:r>
      <w:r>
        <w:t>2021年6月启动修订工作，</w:t>
      </w:r>
      <w:r>
        <w:rPr>
          <w:rFonts w:hint="eastAsia"/>
          <w:lang w:eastAsia="zh-CN"/>
        </w:rPr>
        <w:t>成立了</w:t>
      </w:r>
      <w:r>
        <w:rPr>
          <w:rFonts w:hint="eastAsia"/>
          <w:lang w:val="en-US" w:eastAsia="zh-CN"/>
        </w:rPr>
        <w:t>由国家能源局电力安全监管司、派出机构，电力企业、研究机构等组成的</w:t>
      </w:r>
      <w:r>
        <w:rPr>
          <w:rFonts w:hint="eastAsia"/>
          <w:lang w:eastAsia="zh-CN"/>
        </w:rPr>
        <w:t>工作专班。</w:t>
      </w:r>
      <w:r>
        <w:t>2021年7月，</w:t>
      </w:r>
      <w:r>
        <w:rPr>
          <w:rFonts w:hint="eastAsia"/>
          <w:lang w:eastAsia="zh-CN"/>
        </w:rPr>
        <w:t>工作专班</w:t>
      </w:r>
      <w:r>
        <w:rPr>
          <w:rFonts w:hint="eastAsia"/>
          <w:lang w:val="en-US" w:eastAsia="zh-CN"/>
        </w:rPr>
        <w:t>组织有关单位深入</w:t>
      </w:r>
      <w:r>
        <w:t>分析研究隐患排查治理的基本理论、发展历程以及相关法律法规和政策</w:t>
      </w:r>
      <w:r>
        <w:rPr>
          <w:rFonts w:hint="eastAsia"/>
          <w:lang w:val="en-US" w:eastAsia="zh-CN"/>
        </w:rPr>
        <w:t>文件</w:t>
      </w:r>
      <w:r>
        <w:t>，调研</w:t>
      </w:r>
      <w:r>
        <w:rPr>
          <w:rFonts w:hint="eastAsia"/>
          <w:lang w:val="en-US" w:eastAsia="zh-CN"/>
        </w:rPr>
        <w:t>了南方电网、</w:t>
      </w:r>
      <w:r>
        <w:t>华电集团、中</w:t>
      </w:r>
      <w:r>
        <w:rPr>
          <w:rFonts w:hint="eastAsia"/>
          <w:lang w:val="en-US" w:eastAsia="zh-CN"/>
        </w:rPr>
        <w:t>国</w:t>
      </w:r>
      <w:r>
        <w:t>能建等电力</w:t>
      </w:r>
      <w:r>
        <w:rPr>
          <w:rFonts w:hint="eastAsia"/>
          <w:lang w:val="en-US" w:eastAsia="zh-CN"/>
        </w:rPr>
        <w:t>企</w:t>
      </w:r>
      <w:r>
        <w:t>业隐患排查治理工作的开展情况，</w:t>
      </w:r>
      <w:r>
        <w:rPr>
          <w:rFonts w:hint="eastAsia"/>
          <w:lang w:val="en-US" w:eastAsia="zh-CN"/>
        </w:rPr>
        <w:t>吸收</w:t>
      </w:r>
      <w:r>
        <w:t>石油化工、</w:t>
      </w:r>
      <w:r>
        <w:rPr>
          <w:rFonts w:hint="eastAsia"/>
        </w:rPr>
        <w:t>交通运输</w:t>
      </w:r>
      <w:r>
        <w:t>等行业的典型做法，形成研究报告</w:t>
      </w:r>
      <w:r>
        <w:rPr>
          <w:rFonts w:hint="eastAsia"/>
          <w:lang w:eastAsia="zh-CN"/>
        </w:rPr>
        <w:t>；</w:t>
      </w:r>
      <w:r>
        <w:t>2021年8月，在研究报告的基础上，开展修订工作，</w:t>
      </w:r>
      <w:r>
        <w:rPr>
          <w:rFonts w:hint="eastAsia"/>
          <w:lang w:eastAsia="zh-CN"/>
        </w:rPr>
        <w:t>组织召开</w:t>
      </w:r>
      <w:r>
        <w:rPr>
          <w:rFonts w:hint="eastAsia"/>
          <w:lang w:val="en-US" w:eastAsia="zh-CN"/>
        </w:rPr>
        <w:t>11场讨论会，</w:t>
      </w:r>
      <w:r>
        <w:t>形成《电力</w:t>
      </w:r>
      <w:r>
        <w:rPr>
          <w:rFonts w:hint="eastAsia"/>
          <w:lang w:val="en-US" w:eastAsia="zh-CN"/>
        </w:rPr>
        <w:t>生产</w:t>
      </w:r>
      <w:r>
        <w:t>安全隐患监督管理规定》初稿，</w:t>
      </w:r>
      <w:r>
        <w:rPr>
          <w:rFonts w:hint="eastAsia"/>
          <w:lang w:val="en-US" w:eastAsia="zh-CN"/>
        </w:rPr>
        <w:t>并</w:t>
      </w:r>
      <w:r>
        <w:rPr>
          <w:rFonts w:hint="eastAsia"/>
          <w:lang w:eastAsia="zh-CN"/>
        </w:rPr>
        <w:t>征求</w:t>
      </w:r>
      <w:r>
        <w:rPr>
          <w:rFonts w:hint="eastAsia"/>
          <w:lang w:val="en-US" w:eastAsia="zh-CN"/>
        </w:rPr>
        <w:t>了部分单位意见，重点对接《安全生产法》新要求，进行了修改完善，形成了征求意见稿；2022年3—4月，向全国电力安委会成员单位书面征求了修改意见，根据各单位意见进行了修改完善。</w:t>
      </w:r>
    </w:p>
    <w:p>
      <w:pPr>
        <w:pStyle w:val="4"/>
        <w:rPr>
          <w:rFonts w:hint="default"/>
          <w:lang w:val="en-US" w:eastAsia="zh-CN"/>
        </w:rPr>
      </w:pPr>
      <w:r>
        <w:rPr>
          <w:rFonts w:hint="eastAsia"/>
          <w:lang w:val="en-US" w:eastAsia="zh-CN"/>
        </w:rPr>
        <w:t>征求意见情况</w:t>
      </w:r>
    </w:p>
    <w:p>
      <w:pPr>
        <w:rPr>
          <w:rFonts w:hint="default"/>
          <w:b w:val="0"/>
          <w:bCs w:val="0"/>
          <w:lang w:val="en-US" w:eastAsia="zh-CN"/>
        </w:rPr>
      </w:pPr>
      <w:r>
        <w:rPr>
          <w:rFonts w:hint="eastAsia"/>
          <w:lang w:val="en-US" w:eastAsia="zh-CN"/>
        </w:rPr>
        <w:t>征求电力行业和专家意见阶段，共收到反馈意见90条。其中48项采纳或基本采纳，采纳率53%。未采纳的意见主要集中在</w:t>
      </w:r>
      <w:r>
        <w:rPr>
          <w:rFonts w:hint="eastAsia"/>
          <w:b w:val="0"/>
          <w:bCs w:val="0"/>
          <w:lang w:val="en-US" w:eastAsia="zh-CN"/>
        </w:rPr>
        <w:t>地方电力管理部门是否承担电力生产安全隐患监督管理相关工作方面。部分地方电力管理部门认为依据《电力监管条例》《电力安全生产监督管理办法》《电力建设工程施工安全监督管理办法》等法规、规章，地方电力管理部门不承担电力安全生产监督管理职责。考虑到，2021年新修订的《安全生产法》规定“县级以上地方各级人民政府有关部门依照本法和其他有关法律、法规的规定，在各自的职责范围内对有关行业、领域的安全生产工作实施监督管理”“应急管理部门和对有关行业、领域的安全生产工作实施监督管理的部门，统称负有安全生产监督管理职责的部门”，以及2022年4月国务院安委会的安全生产十五条措施要求，基本明确地方各级电力管理部门负有安全生产监督管理职责，因此相关意见未采纳。</w:t>
      </w:r>
    </w:p>
    <w:p>
      <w:pPr>
        <w:pStyle w:val="4"/>
        <w:bidi w:val="0"/>
      </w:pPr>
      <w:r>
        <w:rPr>
          <w:rFonts w:hint="eastAsia"/>
          <w:lang w:val="en-US" w:eastAsia="zh-CN"/>
        </w:rPr>
        <w:t>主要</w:t>
      </w:r>
      <w:r>
        <w:rPr>
          <w:rFonts w:hint="eastAsia"/>
        </w:rPr>
        <w:t>修订内容</w:t>
      </w:r>
    </w:p>
    <w:p>
      <w:pPr>
        <w:keepNext w:val="0"/>
        <w:keepLines w:val="0"/>
        <w:pageBreakBefore w:val="0"/>
        <w:kinsoku/>
        <w:wordWrap/>
        <w:overflowPunct/>
        <w:topLinePunct w:val="0"/>
        <w:bidi w:val="0"/>
        <w:adjustRightInd w:val="0"/>
        <w:snapToGrid w:val="0"/>
        <w:spacing w:line="578" w:lineRule="exact"/>
        <w:ind w:left="0" w:leftChars="0" w:firstLine="640" w:firstLineChars="200"/>
        <w:textAlignment w:val="baseline"/>
        <w:rPr>
          <w:rFonts w:hint="eastAsia"/>
          <w:lang w:val="en-US" w:eastAsia="zh-CN"/>
        </w:rPr>
      </w:pPr>
      <w:r>
        <w:rPr>
          <w:rFonts w:hint="eastAsia"/>
          <w:lang w:val="en-US" w:eastAsia="zh-CN"/>
        </w:rPr>
        <w:t>本次修订突出把握了两个重点。</w:t>
      </w:r>
      <w:r>
        <w:rPr>
          <w:rFonts w:hint="eastAsia"/>
          <w:b/>
          <w:bCs/>
          <w:lang w:val="en-US" w:eastAsia="zh-CN"/>
        </w:rPr>
        <w:t>一是全面落实新《安全生产法</w:t>
      </w:r>
      <w:r>
        <w:rPr>
          <w:rFonts w:hint="eastAsia"/>
          <w:lang w:val="en-US" w:eastAsia="zh-CN"/>
        </w:rPr>
        <w:t>。《安全生产法》中32次提到“隐患”，对隐患排查治理作出更加严格、更加细致的规定，是今后一段时期电力安全隐患排查监督管理的重要依据。</w:t>
      </w:r>
      <w:r>
        <w:rPr>
          <w:rFonts w:hint="eastAsia"/>
          <w:b/>
          <w:bCs/>
          <w:lang w:val="en-US" w:eastAsia="zh-CN"/>
        </w:rPr>
        <w:t>二是总结吸收成熟经验做法</w:t>
      </w:r>
      <w:r>
        <w:rPr>
          <w:rFonts w:hint="eastAsia"/>
          <w:lang w:val="en-US" w:eastAsia="zh-CN"/>
        </w:rPr>
        <w:t>。重点结合《国家发展改革委办公厅 国家能源局综合司关于进一步加强电力安全风险分级管控和隐患排查治理工作的通知》</w:t>
      </w:r>
      <w:r>
        <w:rPr>
          <w:rFonts w:hint="eastAsia"/>
        </w:rPr>
        <w:t>（发改办能源〔2021〕641号）</w:t>
      </w:r>
      <w:r>
        <w:rPr>
          <w:rFonts w:hint="eastAsia"/>
          <w:lang w:val="en-US" w:eastAsia="zh-CN"/>
        </w:rPr>
        <w:t>等文件以及电力企业、相关行业的一些典型经验做法，总结提炼后融入到修订稿中。</w:t>
      </w:r>
    </w:p>
    <w:p>
      <w:pPr>
        <w:keepNext w:val="0"/>
        <w:keepLines w:val="0"/>
        <w:pageBreakBefore w:val="0"/>
        <w:kinsoku/>
        <w:wordWrap/>
        <w:overflowPunct/>
        <w:topLinePunct w:val="0"/>
        <w:bidi w:val="0"/>
        <w:adjustRightInd w:val="0"/>
        <w:snapToGrid w:val="0"/>
        <w:spacing w:line="578" w:lineRule="exact"/>
        <w:ind w:left="0" w:leftChars="0" w:firstLine="640" w:firstLineChars="200"/>
        <w:textAlignment w:val="baseline"/>
        <w:rPr>
          <w:rFonts w:ascii="仿宋_GB2312" w:hAnsi="宋体" w:eastAsia="仿宋"/>
          <w:snapToGrid w:val="0"/>
          <w:sz w:val="32"/>
          <w:szCs w:val="32"/>
        </w:rPr>
      </w:pPr>
      <w:r>
        <w:rPr>
          <w:rFonts w:hint="eastAsia"/>
          <w:lang w:val="en-US" w:eastAsia="zh-CN"/>
        </w:rPr>
        <w:t>正文共6章，</w:t>
      </w:r>
      <w:r>
        <w:rPr>
          <w:rFonts w:hint="eastAsia" w:ascii="仿宋_GB2312" w:hAnsi="宋体"/>
          <w:snapToGrid w:val="0"/>
          <w:sz w:val="32"/>
          <w:szCs w:val="32"/>
          <w:lang w:val="en-US" w:eastAsia="zh-CN"/>
        </w:rPr>
        <w:t>各章具体修订情况如下</w:t>
      </w:r>
      <w:r>
        <w:rPr>
          <w:rFonts w:ascii="仿宋_GB2312" w:hAnsi="宋体" w:eastAsia="仿宋"/>
          <w:snapToGrid w:val="0"/>
          <w:sz w:val="32"/>
          <w:szCs w:val="32"/>
        </w:rPr>
        <w:t>。</w:t>
      </w:r>
    </w:p>
    <w:p>
      <w:pPr>
        <w:pStyle w:val="5"/>
        <w:numPr>
          <w:ilvl w:val="0"/>
          <w:numId w:val="0"/>
        </w:numPr>
        <w:ind w:leftChars="200" w:firstLine="0" w:firstLineChars="0"/>
        <w:rPr>
          <w:rFonts w:hint="eastAsia"/>
          <w:lang w:val="en-US" w:eastAsia="zh-CN"/>
        </w:rPr>
      </w:pPr>
      <w:r>
        <w:rPr>
          <w:rFonts w:hint="eastAsia"/>
          <w:lang w:val="en-US" w:eastAsia="zh-CN"/>
        </w:rPr>
        <w:t>第一章 总则</w:t>
      </w:r>
    </w:p>
    <w:p>
      <w:pPr>
        <w:rPr>
          <w:rFonts w:hint="eastAsia"/>
          <w:lang w:val="en-US" w:eastAsia="zh-CN"/>
        </w:rPr>
      </w:pPr>
      <w:r>
        <w:rPr>
          <w:rFonts w:hint="eastAsia"/>
          <w:b/>
          <w:bCs/>
          <w:lang w:val="en-US" w:eastAsia="zh-CN"/>
        </w:rPr>
        <w:t>一是完善隐患定义。</w:t>
      </w:r>
      <w:r>
        <w:rPr>
          <w:rFonts w:hint="eastAsia"/>
          <w:lang w:val="en-US" w:eastAsia="zh-CN"/>
        </w:rPr>
        <w:t>结合工作实际，进一步完善了隐患的定义，将“违反安全生产法律、法规、规章、标准、规程和安全生产管理制度的规定”“人的不安全行为”等纳入隐患范畴。</w:t>
      </w:r>
    </w:p>
    <w:p>
      <w:pPr>
        <w:rPr>
          <w:rFonts w:hint="eastAsia"/>
          <w:lang w:val="en-US" w:eastAsia="zh-CN"/>
        </w:rPr>
      </w:pPr>
      <w:r>
        <w:rPr>
          <w:rFonts w:hint="eastAsia"/>
          <w:b/>
          <w:bCs/>
          <w:lang w:val="en-US" w:eastAsia="zh-CN"/>
        </w:rPr>
        <w:t>二是完善部分表述。</w:t>
      </w:r>
      <w:r>
        <w:rPr>
          <w:rFonts w:hint="eastAsia"/>
          <w:b w:val="0"/>
          <w:bCs w:val="0"/>
          <w:lang w:val="en-US" w:eastAsia="zh-CN"/>
        </w:rPr>
        <w:t>增加</w:t>
      </w:r>
      <w:r>
        <w:rPr>
          <w:rFonts w:hint="eastAsia" w:ascii="仿宋_GB2312" w:hAnsi="宋体" w:eastAsia="仿宋"/>
          <w:snapToGrid w:val="0"/>
          <w:sz w:val="32"/>
          <w:szCs w:val="32"/>
        </w:rPr>
        <w:t>新《安全生产法》</w:t>
      </w:r>
      <w:r>
        <w:rPr>
          <w:rFonts w:hint="eastAsia"/>
          <w:lang w:val="en-US" w:eastAsia="zh-CN"/>
        </w:rPr>
        <w:t>作为依据。适应电力安全生产领域齐抓共管新形势，按照“三管三必须”原则，以“</w:t>
      </w:r>
      <w:r>
        <w:rPr>
          <w:rFonts w:hint="eastAsia" w:ascii="Times New Roman" w:hAnsi="Times New Roman" w:eastAsia="仿宋" w:cs="Times New Roman"/>
          <w:b w:val="0"/>
          <w:bCs w:val="0"/>
        </w:rPr>
        <w:t>国家能源局及其派出机构、地方电力管理部门</w:t>
      </w:r>
      <w:r>
        <w:rPr>
          <w:rFonts w:hint="eastAsia"/>
          <w:lang w:val="en-US" w:eastAsia="zh-CN"/>
        </w:rPr>
        <w:t>”替代原“电力监管机构”的表述，相应的“适用范围”结合</w:t>
      </w:r>
      <w:r>
        <w:rPr>
          <w:rFonts w:hint="eastAsia" w:ascii="Times New Roman" w:hAnsi="Times New Roman" w:eastAsia="仿宋" w:cs="Times New Roman"/>
          <w:b w:val="0"/>
          <w:bCs w:val="0"/>
        </w:rPr>
        <w:t>国家能源局及其派出机构、地方电力管理部门</w:t>
      </w:r>
      <w:r>
        <w:rPr>
          <w:rFonts w:hint="eastAsia" w:cs="Times New Roman"/>
          <w:b w:val="0"/>
          <w:bCs w:val="0"/>
          <w:lang w:val="en-US" w:eastAsia="zh-CN"/>
        </w:rPr>
        <w:t>职责进行了明确。</w:t>
      </w:r>
    </w:p>
    <w:p>
      <w:pPr>
        <w:pStyle w:val="5"/>
        <w:numPr>
          <w:ilvl w:val="0"/>
          <w:numId w:val="0"/>
        </w:numPr>
        <w:bidi w:val="0"/>
        <w:ind w:leftChars="200" w:firstLine="0" w:firstLineChars="0"/>
      </w:pPr>
      <w:r>
        <w:rPr>
          <w:rFonts w:hint="eastAsia"/>
          <w:lang w:val="en-US" w:eastAsia="zh-CN"/>
        </w:rPr>
        <w:t>第二章 分类分级</w:t>
      </w:r>
    </w:p>
    <w:p>
      <w:pPr>
        <w:rPr>
          <w:rFonts w:hint="eastAsia"/>
          <w:lang w:val="en-US" w:eastAsia="zh-CN"/>
        </w:rPr>
      </w:pPr>
      <w:r>
        <w:rPr>
          <w:rFonts w:hint="eastAsia"/>
          <w:b/>
          <w:bCs/>
          <w:lang w:val="en-US" w:eastAsia="zh-CN"/>
        </w:rPr>
        <w:t>一是完善隐患分类。</w:t>
      </w:r>
      <w:r>
        <w:rPr>
          <w:rFonts w:hint="eastAsia"/>
          <w:b w:val="0"/>
          <w:bCs w:val="0"/>
          <w:lang w:val="en-US" w:eastAsia="zh-CN"/>
        </w:rPr>
        <w:t>按照隐患定义，隐患包括导致电力安全事件的隐患，为表述准确，将分类中的“其他事故隐患”改为“其他隐患”；并</w:t>
      </w:r>
      <w:r>
        <w:rPr>
          <w:rFonts w:hint="eastAsia"/>
          <w:lang w:val="en-US" w:eastAsia="zh-CN"/>
        </w:rPr>
        <w:t>将“其他隐患”中的“火灾事故隐患”“突发环境事件隐患”删除，统一表述为“国家能源局根据需要依法依规确定的隐患”。同时，根据工作需要</w:t>
      </w:r>
      <w:r>
        <w:rPr>
          <w:rFonts w:hint="default"/>
          <w:lang w:val="en-US" w:eastAsia="zh-CN"/>
        </w:rPr>
        <w:t>增加电力监控系统网络安全隐患</w:t>
      </w:r>
      <w:r>
        <w:rPr>
          <w:rFonts w:hint="eastAsia"/>
          <w:lang w:val="en-US" w:eastAsia="zh-CN"/>
        </w:rPr>
        <w:t>。修改后的隐患由6类变为7类。</w:t>
      </w:r>
    </w:p>
    <w:p>
      <w:pPr>
        <w:bidi w:val="0"/>
        <w:rPr>
          <w:rFonts w:hint="eastAsia"/>
          <w:lang w:val="en-US" w:eastAsia="zh-CN"/>
        </w:rPr>
      </w:pPr>
      <w:r>
        <w:rPr>
          <w:rFonts w:hint="eastAsia"/>
          <w:b/>
          <w:bCs/>
          <w:lang w:val="en-US" w:eastAsia="zh-CN"/>
        </w:rPr>
        <w:t>二是健全隐患分级。</w:t>
      </w:r>
      <w:r>
        <w:rPr>
          <w:rFonts w:ascii="仿宋_GB2312" w:hAnsi="宋体" w:eastAsia="仿宋"/>
          <w:snapToGrid w:val="0"/>
          <w:sz w:val="32"/>
          <w:szCs w:val="32"/>
        </w:rPr>
        <w:t>将隐患分为</w:t>
      </w:r>
      <w:r>
        <w:rPr>
          <w:rFonts w:hint="eastAsia" w:ascii="仿宋_GB2312" w:hAnsi="宋体"/>
          <w:snapToGrid w:val="0"/>
          <w:sz w:val="32"/>
          <w:szCs w:val="32"/>
          <w:lang w:val="en-US" w:eastAsia="zh-CN"/>
        </w:rPr>
        <w:t>特别</w:t>
      </w:r>
      <w:r>
        <w:rPr>
          <w:rFonts w:ascii="仿宋_GB2312" w:hAnsi="宋体" w:eastAsia="仿宋"/>
          <w:snapToGrid w:val="0"/>
          <w:sz w:val="32"/>
          <w:szCs w:val="32"/>
        </w:rPr>
        <w:t>重大、</w:t>
      </w:r>
      <w:r>
        <w:rPr>
          <w:rFonts w:hint="eastAsia" w:ascii="仿宋_GB2312" w:hAnsi="宋体"/>
          <w:snapToGrid w:val="0"/>
          <w:sz w:val="32"/>
          <w:szCs w:val="32"/>
          <w:lang w:val="en-US" w:eastAsia="zh-CN"/>
        </w:rPr>
        <w:t>重大、</w:t>
      </w:r>
      <w:r>
        <w:rPr>
          <w:rFonts w:ascii="仿宋_GB2312" w:hAnsi="宋体" w:eastAsia="仿宋"/>
          <w:snapToGrid w:val="0"/>
          <w:sz w:val="32"/>
          <w:szCs w:val="32"/>
        </w:rPr>
        <w:t>较大</w:t>
      </w:r>
      <w:r>
        <w:rPr>
          <w:rFonts w:hint="eastAsia" w:ascii="仿宋_GB2312" w:hAnsi="宋体"/>
          <w:snapToGrid w:val="0"/>
          <w:sz w:val="32"/>
          <w:szCs w:val="32"/>
          <w:lang w:eastAsia="zh-CN"/>
        </w:rPr>
        <w:t>、</w:t>
      </w:r>
      <w:r>
        <w:rPr>
          <w:rFonts w:ascii="仿宋_GB2312" w:hAnsi="宋体" w:eastAsia="仿宋"/>
          <w:snapToGrid w:val="0"/>
          <w:sz w:val="32"/>
          <w:szCs w:val="32"/>
        </w:rPr>
        <w:t>一般</w:t>
      </w:r>
      <w:r>
        <w:rPr>
          <w:rFonts w:hint="eastAsia" w:ascii="仿宋_GB2312" w:hAnsi="宋体"/>
          <w:snapToGrid w:val="0"/>
          <w:sz w:val="32"/>
          <w:szCs w:val="32"/>
          <w:lang w:val="en-US" w:eastAsia="zh-CN"/>
        </w:rPr>
        <w:t>和较小5</w:t>
      </w:r>
      <w:r>
        <w:rPr>
          <w:rFonts w:ascii="仿宋_GB2312" w:hAnsi="宋体" w:eastAsia="仿宋"/>
          <w:snapToGrid w:val="0"/>
          <w:sz w:val="32"/>
          <w:szCs w:val="32"/>
        </w:rPr>
        <w:t>个等级，</w:t>
      </w:r>
      <w:r>
        <w:rPr>
          <w:rFonts w:hint="eastAsia" w:ascii="仿宋_GB2312" w:hAnsi="宋体"/>
          <w:snapToGrid w:val="0"/>
          <w:sz w:val="32"/>
          <w:szCs w:val="32"/>
          <w:lang w:val="en-US" w:eastAsia="zh-CN"/>
        </w:rPr>
        <w:t>判定标准基本上对应特别重大事故、重大事故、较大事故、一般事故、电力安全事件。</w:t>
      </w:r>
      <w:r>
        <w:rPr>
          <w:rFonts w:hint="eastAsia" w:cs="仿宋"/>
          <w:lang w:val="en-US" w:eastAsia="zh-CN"/>
        </w:rPr>
        <w:t>其中，特别重大级、重大级隐患对应新《安全生产法》中的“重大事故隐患”。</w:t>
      </w:r>
    </w:p>
    <w:p>
      <w:pPr>
        <w:pStyle w:val="5"/>
        <w:numPr>
          <w:ilvl w:val="0"/>
          <w:numId w:val="0"/>
        </w:numPr>
        <w:ind w:leftChars="200" w:firstLine="0" w:firstLineChars="0"/>
        <w:rPr>
          <w:rFonts w:hint="eastAsia" w:ascii="楷体" w:hAnsi="楷体"/>
          <w:b w:val="0"/>
          <w:bCs w:val="0"/>
          <w:snapToGrid/>
          <w:sz w:val="32"/>
          <w:szCs w:val="32"/>
          <w:lang w:val="en-US" w:eastAsia="zh-CN"/>
        </w:rPr>
      </w:pPr>
      <w:r>
        <w:rPr>
          <w:rFonts w:hint="eastAsia"/>
          <w:b w:val="0"/>
          <w:bCs w:val="0"/>
          <w:snapToGrid/>
          <w:sz w:val="32"/>
          <w:szCs w:val="32"/>
          <w:lang w:val="en-US" w:eastAsia="zh-CN"/>
        </w:rPr>
        <w:t>第三章 认定原则</w:t>
      </w:r>
    </w:p>
    <w:p>
      <w:pPr>
        <w:rPr>
          <w:rFonts w:hint="eastAsia" w:ascii="Times New Roman" w:hAnsi="Times New Roman" w:eastAsia="仿宋"/>
          <w:b w:val="0"/>
          <w:bCs w:val="0"/>
          <w:snapToGrid/>
          <w:sz w:val="32"/>
          <w:szCs w:val="24"/>
          <w:lang w:val="en-US" w:eastAsia="zh-CN"/>
        </w:rPr>
      </w:pPr>
      <w:r>
        <w:rPr>
          <w:rFonts w:hint="eastAsia" w:ascii="Times New Roman" w:hAnsi="Times New Roman" w:eastAsia="仿宋"/>
          <w:b/>
          <w:bCs/>
          <w:snapToGrid/>
          <w:sz w:val="32"/>
          <w:szCs w:val="24"/>
          <w:lang w:val="en-US" w:eastAsia="zh-CN"/>
        </w:rPr>
        <w:t>一是</w:t>
      </w:r>
      <w:r>
        <w:rPr>
          <w:rFonts w:hint="eastAsia"/>
          <w:b/>
          <w:bCs/>
          <w:snapToGrid/>
          <w:sz w:val="32"/>
          <w:szCs w:val="24"/>
          <w:lang w:val="en-US" w:eastAsia="zh-CN"/>
        </w:rPr>
        <w:t>修改</w:t>
      </w:r>
      <w:r>
        <w:rPr>
          <w:rFonts w:hint="eastAsia" w:ascii="Times New Roman" w:hAnsi="Times New Roman" w:eastAsia="仿宋"/>
          <w:b/>
          <w:bCs/>
          <w:snapToGrid/>
          <w:sz w:val="32"/>
          <w:szCs w:val="24"/>
          <w:lang w:val="en-US" w:eastAsia="zh-CN"/>
        </w:rPr>
        <w:t>电力安全事故（事件）隐患认定。</w:t>
      </w:r>
      <w:r>
        <w:rPr>
          <w:rFonts w:hint="eastAsia"/>
          <w:b w:val="0"/>
          <w:bCs w:val="0"/>
          <w:snapToGrid/>
          <w:sz w:val="32"/>
          <w:szCs w:val="24"/>
          <w:lang w:val="en-US" w:eastAsia="zh-CN"/>
        </w:rPr>
        <w:t>因《电力安全事故应急处置和调查处理条例》（</w:t>
      </w:r>
      <w:r>
        <w:rPr>
          <w:rFonts w:hint="eastAsia" w:ascii="Times New Roman" w:hAnsi="Times New Roman" w:eastAsia="仿宋"/>
          <w:b w:val="0"/>
          <w:bCs w:val="0"/>
          <w:snapToGrid/>
          <w:sz w:val="32"/>
          <w:szCs w:val="24"/>
          <w:lang w:val="en-US" w:eastAsia="zh-CN"/>
        </w:rPr>
        <w:t>国务院</w:t>
      </w:r>
      <w:r>
        <w:rPr>
          <w:rFonts w:hint="eastAsia"/>
          <w:b w:val="0"/>
          <w:bCs w:val="0"/>
          <w:snapToGrid/>
          <w:sz w:val="32"/>
          <w:szCs w:val="24"/>
          <w:lang w:val="en-US" w:eastAsia="zh-CN"/>
        </w:rPr>
        <w:t>令</w:t>
      </w:r>
      <w:r>
        <w:rPr>
          <w:rFonts w:hint="eastAsia" w:ascii="Times New Roman" w:hAnsi="Times New Roman" w:eastAsia="仿宋"/>
          <w:b w:val="0"/>
          <w:bCs w:val="0"/>
          <w:snapToGrid/>
          <w:sz w:val="32"/>
          <w:szCs w:val="24"/>
          <w:lang w:val="en-US" w:eastAsia="zh-CN"/>
        </w:rPr>
        <w:t>第599号</w:t>
      </w:r>
      <w:r>
        <w:rPr>
          <w:rFonts w:hint="eastAsia"/>
          <w:b w:val="0"/>
          <w:bCs w:val="0"/>
          <w:snapToGrid/>
          <w:sz w:val="32"/>
          <w:szCs w:val="24"/>
          <w:lang w:val="en-US" w:eastAsia="zh-CN"/>
        </w:rPr>
        <w:t>）</w:t>
      </w:r>
      <w:r>
        <w:rPr>
          <w:rFonts w:hint="eastAsia" w:ascii="Times New Roman" w:hAnsi="Times New Roman" w:eastAsia="仿宋"/>
          <w:b w:val="0"/>
          <w:bCs w:val="0"/>
          <w:snapToGrid/>
          <w:sz w:val="32"/>
          <w:szCs w:val="24"/>
          <w:lang w:val="en-US" w:eastAsia="zh-CN"/>
        </w:rPr>
        <w:t>中对供热电厂停止供热的时间段有明确的规定，</w:t>
      </w:r>
      <w:r>
        <w:rPr>
          <w:rFonts w:hint="eastAsia"/>
          <w:b w:val="0"/>
          <w:bCs w:val="0"/>
          <w:snapToGrid/>
          <w:sz w:val="32"/>
          <w:szCs w:val="24"/>
          <w:lang w:val="en-US" w:eastAsia="zh-CN"/>
        </w:rPr>
        <w:t>故</w:t>
      </w:r>
      <w:r>
        <w:rPr>
          <w:rFonts w:hint="eastAsia" w:ascii="Times New Roman" w:hAnsi="Times New Roman" w:eastAsia="仿宋"/>
          <w:b w:val="0"/>
          <w:bCs w:val="0"/>
          <w:snapToGrid/>
          <w:sz w:val="32"/>
          <w:szCs w:val="24"/>
          <w:lang w:val="en-US" w:eastAsia="zh-CN"/>
        </w:rPr>
        <w:t>删减了“供热电厂停止供热是指所有时间段的供热中断”的</w:t>
      </w:r>
      <w:r>
        <w:rPr>
          <w:rFonts w:hint="eastAsia"/>
          <w:b w:val="0"/>
          <w:bCs w:val="0"/>
          <w:snapToGrid/>
          <w:sz w:val="32"/>
          <w:szCs w:val="24"/>
          <w:lang w:val="en-US" w:eastAsia="zh-CN"/>
        </w:rPr>
        <w:t>内容</w:t>
      </w:r>
      <w:r>
        <w:rPr>
          <w:rFonts w:hint="eastAsia" w:ascii="Times New Roman" w:hAnsi="Times New Roman" w:eastAsia="仿宋"/>
          <w:b w:val="0"/>
          <w:bCs w:val="0"/>
          <w:snapToGrid/>
          <w:sz w:val="32"/>
          <w:szCs w:val="24"/>
          <w:lang w:val="en-US" w:eastAsia="zh-CN"/>
        </w:rPr>
        <w:t>。</w:t>
      </w:r>
    </w:p>
    <w:p>
      <w:pPr>
        <w:rPr>
          <w:rFonts w:hint="eastAsia"/>
          <w:b w:val="0"/>
          <w:bCs w:val="0"/>
          <w:lang w:val="en-US" w:eastAsia="zh-CN"/>
        </w:rPr>
      </w:pPr>
      <w:r>
        <w:rPr>
          <w:rFonts w:hint="eastAsia"/>
          <w:b/>
          <w:bCs/>
          <w:lang w:val="en-US" w:eastAsia="zh-CN"/>
        </w:rPr>
        <w:t>二是修改安全管理隐患的认定原则。</w:t>
      </w:r>
      <w:r>
        <w:rPr>
          <w:rFonts w:hint="eastAsia"/>
          <w:b w:val="0"/>
          <w:bCs w:val="0"/>
          <w:lang w:val="en-US" w:eastAsia="zh-CN"/>
        </w:rPr>
        <w:t>因达标评级标准取消，发电机组并网安全评价及条件相关规定废止，征求意见稿删除了相关内容。</w:t>
      </w:r>
    </w:p>
    <w:p>
      <w:pPr>
        <w:rPr>
          <w:rFonts w:hint="default"/>
          <w:b w:val="0"/>
          <w:bCs w:val="0"/>
          <w:lang w:val="en-US" w:eastAsia="zh-CN"/>
        </w:rPr>
      </w:pPr>
      <w:r>
        <w:rPr>
          <w:rFonts w:hint="eastAsia"/>
          <w:b/>
          <w:bCs/>
          <w:lang w:val="en-US" w:eastAsia="zh-CN"/>
        </w:rPr>
        <w:t>三是结合分类调整修改了相关内容。</w:t>
      </w:r>
      <w:r>
        <w:rPr>
          <w:rFonts w:hint="eastAsia"/>
          <w:b w:val="0"/>
          <w:bCs w:val="0"/>
          <w:lang w:val="en-US" w:eastAsia="zh-CN"/>
        </w:rPr>
        <w:t>增加了电力监控系统网络安全隐患认定原则。因火灾事故隐患不再列入分类，删除了火灾事故隐患的认定原则。结合最新的大坝安全隐患分级，调整了大坝安全隐患的认定原则。</w:t>
      </w:r>
    </w:p>
    <w:p>
      <w:pPr>
        <w:pStyle w:val="5"/>
        <w:numPr>
          <w:ilvl w:val="0"/>
          <w:numId w:val="0"/>
        </w:numPr>
        <w:bidi w:val="0"/>
        <w:ind w:leftChars="200" w:firstLine="0" w:firstLineChars="0"/>
      </w:pPr>
      <w:r>
        <w:rPr>
          <w:rFonts w:hint="eastAsia"/>
          <w:lang w:val="en-US" w:eastAsia="zh-CN"/>
        </w:rPr>
        <w:t>第四章 排查治理</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ascii="仿宋_GB2312" w:hAnsi="宋体" w:eastAsia="仿宋"/>
          <w:snapToGrid w:val="0"/>
          <w:sz w:val="32"/>
          <w:szCs w:val="32"/>
          <w:lang w:eastAsia="zh-CN"/>
        </w:rPr>
      </w:pPr>
      <w:r>
        <w:rPr>
          <w:rFonts w:hint="eastAsia" w:ascii="仿宋_GB2312" w:hAnsi="宋体"/>
          <w:b/>
          <w:bCs/>
          <w:snapToGrid w:val="0"/>
          <w:sz w:val="32"/>
          <w:szCs w:val="32"/>
          <w:lang w:val="en-US" w:eastAsia="zh-CN"/>
        </w:rPr>
        <w:t>一</w:t>
      </w:r>
      <w:r>
        <w:rPr>
          <w:rFonts w:ascii="仿宋_GB2312" w:hAnsi="宋体" w:eastAsia="仿宋"/>
          <w:b/>
          <w:bCs/>
          <w:snapToGrid w:val="0"/>
          <w:sz w:val="32"/>
          <w:szCs w:val="32"/>
        </w:rPr>
        <w:t>是</w:t>
      </w:r>
      <w:r>
        <w:rPr>
          <w:rFonts w:hint="eastAsia" w:ascii="仿宋_GB2312" w:hAnsi="宋体"/>
          <w:b/>
          <w:bCs/>
          <w:snapToGrid w:val="0"/>
          <w:sz w:val="32"/>
          <w:szCs w:val="32"/>
          <w:lang w:val="en-US" w:eastAsia="zh-CN"/>
        </w:rPr>
        <w:t>规定企业主要负责人相关职责。</w:t>
      </w:r>
      <w:r>
        <w:rPr>
          <w:rFonts w:hint="eastAsia" w:ascii="仿宋_GB2312" w:hAnsi="宋体" w:eastAsia="仿宋"/>
          <w:snapToGrid w:val="0"/>
          <w:sz w:val="32"/>
          <w:szCs w:val="32"/>
        </w:rPr>
        <w:t>根据新《安全生产法》</w:t>
      </w:r>
      <w:r>
        <w:rPr>
          <w:rFonts w:hint="eastAsia" w:ascii="仿宋_GB2312" w:hAnsi="宋体" w:eastAsia="仿宋"/>
          <w:snapToGrid w:val="0"/>
          <w:sz w:val="32"/>
          <w:szCs w:val="32"/>
          <w:lang w:eastAsia="zh-CN"/>
        </w:rPr>
        <w:t>关于生产经营单位的主要负责人</w:t>
      </w:r>
      <w:r>
        <w:rPr>
          <w:rFonts w:hint="eastAsia" w:ascii="仿宋_GB2312" w:hAnsi="宋体"/>
          <w:snapToGrid w:val="0"/>
          <w:sz w:val="32"/>
          <w:szCs w:val="32"/>
          <w:lang w:val="en-US" w:eastAsia="zh-CN"/>
        </w:rPr>
        <w:t>职责的规定，细化了电力企业主要负责人关于隐患排查治理工作的职责。</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default"/>
          <w:lang w:val="en-US" w:eastAsia="zh-CN"/>
        </w:rPr>
      </w:pPr>
      <w:r>
        <w:rPr>
          <w:rFonts w:hint="eastAsia" w:ascii="仿宋_GB2312" w:hAnsi="宋体"/>
          <w:b/>
          <w:bCs/>
          <w:snapToGrid w:val="0"/>
          <w:sz w:val="32"/>
          <w:szCs w:val="32"/>
          <w:lang w:val="en-US" w:eastAsia="zh-CN"/>
        </w:rPr>
        <w:t>二</w:t>
      </w:r>
      <w:r>
        <w:rPr>
          <w:rFonts w:hint="eastAsia" w:ascii="仿宋_GB2312" w:hAnsi="宋体" w:eastAsia="仿宋"/>
          <w:b/>
          <w:bCs/>
          <w:snapToGrid w:val="0"/>
          <w:sz w:val="32"/>
          <w:szCs w:val="32"/>
          <w:lang w:eastAsia="zh-CN"/>
        </w:rPr>
        <w:t>是</w:t>
      </w:r>
      <w:r>
        <w:rPr>
          <w:rFonts w:hint="eastAsia" w:ascii="仿宋_GB2312" w:hAnsi="宋体"/>
          <w:b/>
          <w:bCs/>
          <w:snapToGrid w:val="0"/>
          <w:sz w:val="32"/>
          <w:szCs w:val="32"/>
          <w:lang w:val="en-US" w:eastAsia="zh-CN"/>
        </w:rPr>
        <w:t>规定企业建立隐患排查治理制度。</w:t>
      </w:r>
      <w:r>
        <w:rPr>
          <w:rFonts w:hint="eastAsia" w:ascii="仿宋_GB2312" w:hAnsi="宋体"/>
          <w:b w:val="0"/>
          <w:bCs w:val="0"/>
          <w:snapToGrid w:val="0"/>
          <w:sz w:val="32"/>
          <w:szCs w:val="32"/>
          <w:lang w:val="en-US" w:eastAsia="zh-CN"/>
        </w:rPr>
        <w:t>依据新</w:t>
      </w:r>
      <w:r>
        <w:rPr>
          <w:rFonts w:hint="eastAsia"/>
          <w:lang w:val="en-US" w:eastAsia="zh-CN"/>
        </w:rPr>
        <w:t>《安全生产法》第41条规定“生产经营单位应当建立健全并落实生产安全事故隐患排查治理制度”，对</w:t>
      </w:r>
      <w:r>
        <w:rPr>
          <w:rFonts w:hint="eastAsia"/>
        </w:rPr>
        <w:t>电力企业应当建立隐患排查治理制度</w:t>
      </w:r>
      <w:r>
        <w:rPr>
          <w:rFonts w:hint="eastAsia"/>
          <w:lang w:val="en-US" w:eastAsia="zh-CN"/>
        </w:rPr>
        <w:t>进行了规定，并规定电力企业应当建立资金使用制度。</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default" w:ascii="仿宋_GB2312" w:hAnsi="宋体" w:eastAsia="仿宋"/>
          <w:snapToGrid w:val="0"/>
          <w:sz w:val="32"/>
          <w:szCs w:val="32"/>
          <w:lang w:val="en-US" w:eastAsia="zh-CN"/>
        </w:rPr>
      </w:pPr>
      <w:r>
        <w:rPr>
          <w:rFonts w:hint="eastAsia" w:ascii="仿宋_GB2312" w:hAnsi="宋体"/>
          <w:b/>
          <w:bCs/>
          <w:snapToGrid w:val="0"/>
          <w:sz w:val="32"/>
          <w:szCs w:val="32"/>
          <w:lang w:val="en-US" w:eastAsia="zh-CN"/>
        </w:rPr>
        <w:t>三是规定企业开展隐患登记。</w:t>
      </w:r>
      <w:r>
        <w:rPr>
          <w:rFonts w:hint="eastAsia" w:ascii="仿宋_GB2312" w:hAnsi="宋体"/>
          <w:snapToGrid w:val="0"/>
          <w:sz w:val="32"/>
          <w:szCs w:val="32"/>
          <w:lang w:val="en-US" w:eastAsia="zh-CN"/>
        </w:rPr>
        <w:t>依据</w:t>
      </w:r>
      <w:r>
        <w:rPr>
          <w:rFonts w:hint="eastAsia" w:ascii="仿宋_GB2312" w:hAnsi="宋体"/>
          <w:b w:val="0"/>
          <w:bCs w:val="0"/>
          <w:snapToGrid w:val="0"/>
          <w:sz w:val="32"/>
          <w:szCs w:val="32"/>
          <w:lang w:val="en-US" w:eastAsia="zh-CN"/>
        </w:rPr>
        <w:t>新</w:t>
      </w:r>
      <w:r>
        <w:rPr>
          <w:rFonts w:hint="eastAsia"/>
          <w:lang w:val="en-US" w:eastAsia="zh-CN"/>
        </w:rPr>
        <w:t>《安全生产法》关于“事故隐患排查治理情况应当如实记录”的规定，要求企业开展隐患登记，并对隐患登记信息内容进行了明确。</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default" w:ascii="仿宋_GB2312" w:hAnsi="宋体"/>
          <w:b w:val="0"/>
          <w:bCs w:val="0"/>
          <w:snapToGrid w:val="0"/>
          <w:sz w:val="32"/>
          <w:szCs w:val="32"/>
          <w:lang w:val="en-US" w:eastAsia="zh-CN"/>
        </w:rPr>
      </w:pPr>
      <w:r>
        <w:rPr>
          <w:rFonts w:hint="eastAsia" w:ascii="仿宋_GB2312" w:hAnsi="宋体"/>
          <w:b/>
          <w:bCs/>
          <w:snapToGrid w:val="0"/>
          <w:sz w:val="32"/>
          <w:szCs w:val="32"/>
          <w:lang w:val="en-US" w:eastAsia="zh-CN"/>
        </w:rPr>
        <w:t>四是增加涉及其他单位隐患整改的规定。</w:t>
      </w:r>
      <w:r>
        <w:rPr>
          <w:rFonts w:hint="eastAsia" w:ascii="仿宋_GB2312" w:hAnsi="宋体"/>
          <w:b w:val="0"/>
          <w:bCs w:val="0"/>
          <w:snapToGrid w:val="0"/>
          <w:sz w:val="32"/>
          <w:szCs w:val="32"/>
          <w:lang w:val="en-US" w:eastAsia="zh-CN"/>
        </w:rPr>
        <w:t>根据工作实践，</w:t>
      </w:r>
      <w:r>
        <w:rPr>
          <w:rFonts w:hint="eastAsia"/>
          <w:lang w:val="en-US" w:eastAsia="zh-CN"/>
        </w:rPr>
        <w:t>隐患整改工作涉及其他单位的，要求电力企业协调相关单位及时整改</w:t>
      </w:r>
      <w:r>
        <w:rPr>
          <w:rFonts w:hint="eastAsia"/>
          <w:lang w:eastAsia="zh-CN"/>
        </w:rPr>
        <w:t>，</w:t>
      </w:r>
      <w:r>
        <w:rPr>
          <w:rFonts w:hint="eastAsia"/>
          <w:lang w:val="en-US" w:eastAsia="zh-CN"/>
        </w:rPr>
        <w:t>存在困难的应报告地方人民政府有关部门协调解决</w:t>
      </w:r>
      <w:r>
        <w:rPr>
          <w:rFonts w:hint="eastAsia"/>
          <w:lang w:eastAsia="zh-CN"/>
        </w:rPr>
        <w:t>。</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ascii="仿宋_GB2312" w:hAnsi="宋体" w:eastAsia="仿宋"/>
          <w:b/>
          <w:bCs/>
          <w:snapToGrid w:val="0"/>
          <w:sz w:val="32"/>
          <w:szCs w:val="32"/>
          <w:lang w:val="en-US" w:eastAsia="zh-CN"/>
        </w:rPr>
      </w:pPr>
      <w:r>
        <w:rPr>
          <w:rFonts w:hint="eastAsia" w:ascii="仿宋_GB2312" w:hAnsi="宋体"/>
          <w:b/>
          <w:bCs/>
          <w:snapToGrid w:val="0"/>
          <w:sz w:val="32"/>
          <w:szCs w:val="32"/>
          <w:lang w:val="en-US" w:eastAsia="zh-CN"/>
        </w:rPr>
        <w:t>五是增加隐患警示的规定。</w:t>
      </w:r>
      <w:r>
        <w:rPr>
          <w:rFonts w:hint="eastAsia" w:ascii="仿宋_GB2312" w:hAnsi="宋体"/>
          <w:b w:val="0"/>
          <w:bCs w:val="0"/>
          <w:snapToGrid w:val="0"/>
          <w:sz w:val="32"/>
          <w:szCs w:val="32"/>
          <w:lang w:val="en-US" w:eastAsia="zh-CN"/>
        </w:rPr>
        <w:t>根据实践经验，规定</w:t>
      </w:r>
      <w:r>
        <w:rPr>
          <w:rFonts w:hint="eastAsia"/>
        </w:rPr>
        <w:t>隐患涉及相邻地区、单位或者社会公众安全的，电力企业应立即通知相邻地区、单位，</w:t>
      </w:r>
      <w:r>
        <w:rPr>
          <w:rFonts w:hint="eastAsia"/>
          <w:lang w:val="en-US" w:eastAsia="zh-CN"/>
        </w:rPr>
        <w:t>立即报告地方人民政府有关部门，</w:t>
      </w:r>
      <w:r>
        <w:rPr>
          <w:rFonts w:hint="eastAsia"/>
        </w:rPr>
        <w:t>并在现场设置安全警示标志</w:t>
      </w:r>
      <w:r>
        <w:rPr>
          <w:rFonts w:hint="eastAsia"/>
          <w:lang w:eastAsia="zh-CN"/>
        </w:rPr>
        <w:t>。</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ascii="仿宋_GB2312" w:hAnsi="宋体" w:eastAsia="仿宋"/>
          <w:b/>
          <w:bCs/>
          <w:snapToGrid w:val="0"/>
          <w:sz w:val="32"/>
          <w:szCs w:val="32"/>
          <w:lang w:val="en-US" w:eastAsia="zh-CN"/>
        </w:rPr>
      </w:pPr>
      <w:r>
        <w:rPr>
          <w:rFonts w:hint="eastAsia" w:ascii="仿宋_GB2312" w:hAnsi="宋体"/>
          <w:b/>
          <w:bCs/>
          <w:snapToGrid w:val="0"/>
          <w:sz w:val="32"/>
          <w:szCs w:val="32"/>
          <w:lang w:val="en-US" w:eastAsia="zh-CN"/>
        </w:rPr>
        <w:t>六是增加自然灾害导致隐患的相关规定。</w:t>
      </w:r>
      <w:r>
        <w:rPr>
          <w:rFonts w:hint="eastAsia"/>
        </w:rPr>
        <w:t>对于因自然灾害可能引发事故灾难的隐患，</w:t>
      </w:r>
      <w:r>
        <w:rPr>
          <w:rFonts w:hint="eastAsia"/>
          <w:lang w:val="en-US" w:eastAsia="zh-CN"/>
        </w:rPr>
        <w:t>规定</w:t>
      </w:r>
      <w:r>
        <w:rPr>
          <w:rFonts w:hint="eastAsia"/>
        </w:rPr>
        <w:t>电力企业应当按照有关</w:t>
      </w:r>
      <w:r>
        <w:rPr>
          <w:rFonts w:hint="eastAsia"/>
          <w:lang w:val="en-US" w:eastAsia="zh-CN"/>
        </w:rPr>
        <w:t>规定实施</w:t>
      </w:r>
      <w:r>
        <w:rPr>
          <w:rFonts w:hint="eastAsia"/>
        </w:rPr>
        <w:t>排查治理</w:t>
      </w:r>
      <w:r>
        <w:rPr>
          <w:rFonts w:hint="eastAsia"/>
          <w:lang w:eastAsia="zh-CN"/>
        </w:rPr>
        <w:t>、</w:t>
      </w:r>
      <w:r>
        <w:rPr>
          <w:rFonts w:hint="eastAsia"/>
        </w:rPr>
        <w:t>预警通知</w:t>
      </w:r>
      <w:r>
        <w:rPr>
          <w:rFonts w:hint="eastAsia"/>
          <w:lang w:eastAsia="zh-CN"/>
        </w:rPr>
        <w:t>、</w:t>
      </w:r>
      <w:r>
        <w:rPr>
          <w:rFonts w:hint="eastAsia"/>
        </w:rPr>
        <w:t>停止作业、加强监测等安全措施，并及时向当地人民政府及其有关部门报告</w:t>
      </w:r>
      <w:r>
        <w:rPr>
          <w:rFonts w:hint="eastAsia"/>
          <w:lang w:eastAsia="zh-CN"/>
        </w:rPr>
        <w:t>。</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sz w:val="32"/>
          <w:szCs w:val="24"/>
          <w:vertAlign w:val="baseline"/>
          <w:lang w:val="en-US" w:eastAsia="zh-CN"/>
        </w:rPr>
      </w:pPr>
      <w:r>
        <w:rPr>
          <w:rFonts w:hint="eastAsia" w:ascii="仿宋_GB2312" w:hAnsi="宋体"/>
          <w:b/>
          <w:bCs/>
          <w:snapToGrid w:val="0"/>
          <w:sz w:val="32"/>
          <w:szCs w:val="32"/>
          <w:lang w:val="en-US" w:eastAsia="zh-CN"/>
        </w:rPr>
        <w:t>七是增加评估的规定。</w:t>
      </w:r>
      <w:r>
        <w:rPr>
          <w:rFonts w:hint="eastAsia" w:ascii="仿宋_GB2312" w:hAnsi="宋体"/>
          <w:snapToGrid w:val="0"/>
          <w:sz w:val="32"/>
          <w:szCs w:val="32"/>
          <w:lang w:val="en-US" w:eastAsia="zh-CN"/>
        </w:rPr>
        <w:t>依据</w:t>
      </w:r>
      <w:r>
        <w:rPr>
          <w:rFonts w:hint="eastAsia" w:ascii="仿宋_GB2312" w:hAnsi="宋体"/>
          <w:b w:val="0"/>
          <w:bCs w:val="0"/>
          <w:snapToGrid w:val="0"/>
          <w:sz w:val="32"/>
          <w:szCs w:val="32"/>
          <w:lang w:val="en-US" w:eastAsia="zh-CN"/>
        </w:rPr>
        <w:t>新</w:t>
      </w:r>
      <w:r>
        <w:rPr>
          <w:rFonts w:hint="eastAsia"/>
          <w:lang w:val="en-US" w:eastAsia="zh-CN"/>
        </w:rPr>
        <w:t>《安全生产法》，</w:t>
      </w:r>
      <w:r>
        <w:rPr>
          <w:rFonts w:hint="eastAsia" w:ascii="Times New Roman" w:hAnsi="Times New Roman"/>
          <w:b w:val="0"/>
          <w:bCs w:val="0"/>
          <w:snapToGrid/>
          <w:sz w:val="32"/>
          <w:szCs w:val="24"/>
          <w:lang w:val="en-US" w:eastAsia="zh-CN"/>
        </w:rPr>
        <w:t>强调重大级以上隐患治理结束后，电力企业应当进行评估</w:t>
      </w:r>
      <w:r>
        <w:rPr>
          <w:rFonts w:hint="eastAsia"/>
          <w:b w:val="0"/>
          <w:bCs w:val="0"/>
          <w:snapToGrid/>
          <w:sz w:val="32"/>
          <w:szCs w:val="24"/>
          <w:lang w:val="en-US" w:eastAsia="zh-CN"/>
        </w:rPr>
        <w:t>；</w:t>
      </w:r>
      <w:r>
        <w:rPr>
          <w:rStyle w:val="19"/>
          <w:rFonts w:hint="eastAsia" w:eastAsia="仿宋"/>
        </w:rPr>
        <w:t>由国家能源局派出机构或地方电力管理部门检查发现并提出整改要求的重大</w:t>
      </w:r>
      <w:r>
        <w:rPr>
          <w:rStyle w:val="19"/>
          <w:rFonts w:hint="eastAsia" w:eastAsia="仿宋"/>
          <w:lang w:val="en-US" w:eastAsia="zh-CN"/>
        </w:rPr>
        <w:t>级以上</w:t>
      </w:r>
      <w:r>
        <w:rPr>
          <w:rStyle w:val="19"/>
          <w:rFonts w:hint="eastAsia" w:eastAsia="仿宋"/>
        </w:rPr>
        <w:t>隐患，</w:t>
      </w:r>
      <w:r>
        <w:rPr>
          <w:rFonts w:hint="eastAsia"/>
          <w:sz w:val="32"/>
          <w:szCs w:val="24"/>
          <w:vertAlign w:val="baseline"/>
          <w:lang w:val="en-US" w:eastAsia="zh-CN"/>
        </w:rPr>
        <w:t>符合安全生产条件的，需经提出隐患整改要求的部门审查同意方可恢复施工和生产。</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default" w:ascii="Times New Roman" w:hAnsi="Times New Roman"/>
          <w:b w:val="0"/>
          <w:bCs w:val="0"/>
          <w:snapToGrid/>
          <w:sz w:val="32"/>
          <w:szCs w:val="24"/>
          <w:lang w:val="en-US" w:eastAsia="zh-CN"/>
        </w:rPr>
      </w:pPr>
      <w:r>
        <w:rPr>
          <w:rFonts w:hint="eastAsia"/>
          <w:b/>
          <w:bCs/>
          <w:sz w:val="32"/>
          <w:szCs w:val="24"/>
          <w:vertAlign w:val="baseline"/>
          <w:lang w:val="en-US" w:eastAsia="zh-CN"/>
        </w:rPr>
        <w:t>八是增加评估责任有关规定。</w:t>
      </w:r>
      <w:r>
        <w:rPr>
          <w:rFonts w:hint="eastAsia"/>
          <w:sz w:val="32"/>
          <w:szCs w:val="24"/>
          <w:vertAlign w:val="baseline"/>
          <w:lang w:val="en-US" w:eastAsia="zh-CN"/>
        </w:rPr>
        <w:t>强调</w:t>
      </w:r>
      <w:r>
        <w:rPr>
          <w:rFonts w:hint="eastAsia"/>
        </w:rPr>
        <w:t>电力企业委托技术管理服务机构提供隐患排查治理服务的，隐患排查治理的责任仍由本单位负责。</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lang w:eastAsia="zh-CN"/>
        </w:rPr>
      </w:pPr>
      <w:r>
        <w:rPr>
          <w:rFonts w:hint="eastAsia" w:ascii="仿宋_GB2312" w:hAnsi="宋体"/>
          <w:b/>
          <w:bCs/>
          <w:snapToGrid w:val="0"/>
          <w:sz w:val="32"/>
          <w:szCs w:val="32"/>
          <w:lang w:val="en-US" w:eastAsia="zh-CN"/>
        </w:rPr>
        <w:t>九是增加排查治理“双报告”规定。</w:t>
      </w:r>
      <w:r>
        <w:rPr>
          <w:rFonts w:hint="eastAsia" w:ascii="Times New Roman" w:hAnsi="Times New Roman"/>
          <w:b w:val="0"/>
          <w:bCs w:val="0"/>
          <w:snapToGrid/>
          <w:sz w:val="32"/>
          <w:szCs w:val="24"/>
          <w:lang w:val="en-US" w:eastAsia="zh-CN"/>
        </w:rPr>
        <w:t>依据新《安全生产法》，</w:t>
      </w:r>
      <w:r>
        <w:rPr>
          <w:rFonts w:hint="eastAsia" w:ascii="仿宋_GB2312" w:hAnsi="宋体"/>
          <w:snapToGrid w:val="0"/>
          <w:sz w:val="32"/>
          <w:szCs w:val="32"/>
          <w:lang w:val="en-US" w:eastAsia="zh-CN"/>
        </w:rPr>
        <w:t>强调</w:t>
      </w:r>
      <w:r>
        <w:rPr>
          <w:rFonts w:hint="eastAsia"/>
        </w:rPr>
        <w:t>电力企业应如实记录隐患排查治理情况，通过职工大会或者职工代表大会、信息公示栏等方式向从业人员通报</w:t>
      </w:r>
      <w:r>
        <w:rPr>
          <w:rFonts w:hint="eastAsia" w:ascii="仿宋_GB2312"/>
          <w:sz w:val="32"/>
          <w:szCs w:val="32"/>
          <w:lang w:eastAsia="zh-CN"/>
        </w:rPr>
        <w:t>；</w:t>
      </w:r>
      <w:r>
        <w:rPr>
          <w:rFonts w:hint="eastAsia"/>
          <w:lang w:eastAsia="zh-CN"/>
        </w:rPr>
        <w:t>重大级以上</w:t>
      </w:r>
      <w:r>
        <w:rPr>
          <w:rFonts w:hint="eastAsia"/>
        </w:rPr>
        <w:t>隐患排查治理情况应当及时向国家能源局及其派出机构、地方电力管理部门和职工大会或者职工代表大会报告</w:t>
      </w:r>
      <w:r>
        <w:rPr>
          <w:rFonts w:hint="eastAsia"/>
          <w:lang w:eastAsia="zh-CN"/>
        </w:rPr>
        <w:t>。</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lang w:eastAsia="zh-CN"/>
        </w:rPr>
      </w:pPr>
      <w:r>
        <w:rPr>
          <w:rFonts w:hint="eastAsia"/>
          <w:b/>
          <w:bCs/>
          <w:lang w:val="en-US" w:eastAsia="zh-CN"/>
        </w:rPr>
        <w:t>十是增加</w:t>
      </w:r>
      <w:r>
        <w:rPr>
          <w:rFonts w:hint="eastAsia"/>
          <w:b/>
          <w:bCs/>
          <w:lang w:eastAsia="zh-CN"/>
        </w:rPr>
        <w:t>奖惩</w:t>
      </w:r>
      <w:r>
        <w:rPr>
          <w:rFonts w:hint="eastAsia"/>
          <w:b/>
          <w:bCs/>
          <w:lang w:val="en-US" w:eastAsia="zh-CN"/>
        </w:rPr>
        <w:t>有关规定。</w:t>
      </w:r>
      <w:r>
        <w:rPr>
          <w:rFonts w:hint="eastAsia"/>
          <w:lang w:val="en-US" w:eastAsia="zh-CN"/>
        </w:rPr>
        <w:t>鼓励</w:t>
      </w:r>
      <w:r>
        <w:rPr>
          <w:rFonts w:hint="eastAsia"/>
        </w:rPr>
        <w:t>电力企业建立隐患排查治理激励约束制度，对发现、报告和消除隐患的有功人员，给予物质奖励或者表彰；对瞒报隐患或者排查治理不力的人员予以相应处理</w:t>
      </w:r>
      <w:r>
        <w:rPr>
          <w:rFonts w:hint="eastAsia"/>
          <w:lang w:eastAsia="zh-CN"/>
        </w:rPr>
        <w:t>。</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lang w:eastAsia="zh-CN"/>
        </w:rPr>
      </w:pPr>
      <w:r>
        <w:rPr>
          <w:rFonts w:hint="eastAsia"/>
          <w:b/>
          <w:bCs/>
          <w:lang w:val="en-US" w:eastAsia="zh-CN"/>
        </w:rPr>
        <w:t>十一是增加“</w:t>
      </w:r>
      <w:r>
        <w:rPr>
          <w:rFonts w:hint="eastAsia"/>
          <w:b/>
          <w:bCs/>
          <w:lang w:eastAsia="zh-CN"/>
        </w:rPr>
        <w:t>吹哨人”制度</w:t>
      </w:r>
      <w:r>
        <w:rPr>
          <w:rFonts w:hint="eastAsia"/>
          <w:b/>
          <w:bCs/>
          <w:lang w:val="en-US" w:eastAsia="zh-CN"/>
        </w:rPr>
        <w:t>有关规定。</w:t>
      </w:r>
      <w:r>
        <w:rPr>
          <w:rFonts w:hint="eastAsia"/>
          <w:sz w:val="32"/>
          <w:szCs w:val="24"/>
          <w:vertAlign w:val="baseline"/>
          <w:lang w:val="en-US" w:eastAsia="zh-CN"/>
        </w:rPr>
        <w:t>依据《安全生产法》，</w:t>
      </w:r>
      <w:r>
        <w:rPr>
          <w:rFonts w:hint="eastAsia"/>
          <w:lang w:eastAsia="zh-CN"/>
        </w:rPr>
        <w:t>电力企业安全生产管理人员</w:t>
      </w:r>
      <w:r>
        <w:rPr>
          <w:rFonts w:hint="eastAsia"/>
          <w:lang w:val="en-US" w:eastAsia="zh-CN"/>
        </w:rPr>
        <w:t>和其他人员</w:t>
      </w:r>
      <w:r>
        <w:rPr>
          <w:rFonts w:hint="eastAsia"/>
          <w:lang w:eastAsia="zh-CN"/>
        </w:rPr>
        <w:t>发现重大级以上隐患，应当向本单位有关负责人报告，有关负责人应当及时处理；有关负责人不及时处理的，安全生产管理人员</w:t>
      </w:r>
      <w:r>
        <w:rPr>
          <w:rFonts w:hint="eastAsia"/>
          <w:lang w:val="en-US" w:eastAsia="zh-CN"/>
        </w:rPr>
        <w:t>和其他人员</w:t>
      </w:r>
      <w:r>
        <w:rPr>
          <w:rFonts w:hint="eastAsia"/>
          <w:lang w:eastAsia="zh-CN"/>
        </w:rPr>
        <w:t>可以向国家能源局及其派出机构、地方电力管理部门报告。</w:t>
      </w:r>
    </w:p>
    <w:p>
      <w:pPr>
        <w:keepNext w:val="0"/>
        <w:keepLines w:val="0"/>
        <w:pageBreakBefore w:val="0"/>
        <w:kinsoku/>
        <w:wordWrap/>
        <w:overflowPunct/>
        <w:topLinePunct w:val="0"/>
        <w:bidi w:val="0"/>
        <w:adjustRightInd w:val="0"/>
        <w:snapToGrid w:val="0"/>
        <w:spacing w:line="578" w:lineRule="exact"/>
        <w:ind w:left="0" w:leftChars="0" w:firstLine="643" w:firstLineChars="200"/>
        <w:outlineLvl w:val="1"/>
        <w:rPr>
          <w:rFonts w:hint="eastAsia"/>
          <w:lang w:eastAsia="zh-CN"/>
        </w:rPr>
      </w:pPr>
      <w:r>
        <w:rPr>
          <w:rFonts w:hint="eastAsia"/>
          <w:b/>
          <w:bCs/>
          <w:lang w:val="en-US" w:eastAsia="zh-CN"/>
        </w:rPr>
        <w:t>十二是增加</w:t>
      </w:r>
      <w:r>
        <w:rPr>
          <w:rFonts w:hint="eastAsia"/>
          <w:b/>
          <w:bCs/>
          <w:lang w:eastAsia="zh-CN"/>
        </w:rPr>
        <w:t>外包工程</w:t>
      </w:r>
      <w:r>
        <w:rPr>
          <w:rFonts w:hint="eastAsia"/>
          <w:b/>
          <w:bCs/>
          <w:lang w:val="en-US" w:eastAsia="zh-CN"/>
        </w:rPr>
        <w:t>管理有关规定。</w:t>
      </w:r>
      <w:r>
        <w:rPr>
          <w:rFonts w:hint="eastAsia"/>
          <w:sz w:val="32"/>
          <w:szCs w:val="24"/>
          <w:vertAlign w:val="baseline"/>
          <w:lang w:val="en-US" w:eastAsia="zh-CN"/>
        </w:rPr>
        <w:t>明确</w:t>
      </w:r>
      <w:r>
        <w:rPr>
          <w:rFonts w:hint="eastAsia"/>
          <w:lang w:eastAsia="zh-CN"/>
        </w:rPr>
        <w:t>电力企业将生产经营项目发包、出租的，应当</w:t>
      </w:r>
      <w:r>
        <w:rPr>
          <w:rFonts w:hint="eastAsia"/>
          <w:lang w:val="en-US" w:eastAsia="zh-CN"/>
        </w:rPr>
        <w:t>采取</w:t>
      </w:r>
      <w:r>
        <w:rPr>
          <w:rFonts w:hint="eastAsia"/>
          <w:lang w:eastAsia="zh-CN"/>
        </w:rPr>
        <w:t>签订安全生产管理协议</w:t>
      </w:r>
      <w:r>
        <w:rPr>
          <w:rFonts w:hint="eastAsia"/>
          <w:lang w:val="en-US" w:eastAsia="zh-CN"/>
        </w:rPr>
        <w:t>的方式</w:t>
      </w:r>
      <w:r>
        <w:rPr>
          <w:rFonts w:hint="eastAsia"/>
          <w:lang w:eastAsia="zh-CN"/>
        </w:rPr>
        <w:t>，明确各方管理职责；</w:t>
      </w:r>
      <w:r>
        <w:rPr>
          <w:rFonts w:hint="eastAsia"/>
          <w:lang w:val="en-US" w:eastAsia="zh-CN"/>
        </w:rPr>
        <w:t>并</w:t>
      </w:r>
      <w:r>
        <w:rPr>
          <w:rFonts w:hint="eastAsia"/>
          <w:lang w:eastAsia="zh-CN"/>
        </w:rPr>
        <w:t>统一协调、管理，定期进行检查隐患排查治理工作，发现问题及时督促整改。</w:t>
      </w:r>
    </w:p>
    <w:p>
      <w:pPr>
        <w:pStyle w:val="5"/>
        <w:numPr>
          <w:ilvl w:val="0"/>
          <w:numId w:val="0"/>
        </w:numPr>
        <w:bidi w:val="0"/>
        <w:ind w:leftChars="200" w:firstLine="0" w:firstLineChars="0"/>
      </w:pPr>
      <w:r>
        <w:rPr>
          <w:rFonts w:hint="eastAsia"/>
          <w:lang w:val="en-US" w:eastAsia="zh-CN"/>
        </w:rPr>
        <w:t>第五章 监督管理</w:t>
      </w:r>
    </w:p>
    <w:p>
      <w:pPr>
        <w:rPr>
          <w:rFonts w:hint="eastAsia"/>
        </w:rPr>
      </w:pPr>
      <w:r>
        <w:rPr>
          <w:rFonts w:hint="eastAsia" w:ascii="仿宋_GB2312" w:hAnsi="宋体"/>
          <w:b/>
          <w:bCs/>
          <w:snapToGrid w:val="0"/>
          <w:sz w:val="32"/>
          <w:szCs w:val="32"/>
          <w:lang w:val="en-US" w:eastAsia="zh-CN"/>
        </w:rPr>
        <w:t>一是修改了挂牌督办有关规定。</w:t>
      </w:r>
      <w:r>
        <w:rPr>
          <w:rFonts w:hint="eastAsia"/>
          <w:lang w:val="en-US" w:eastAsia="zh-CN"/>
        </w:rPr>
        <w:t>依据《国家发展改革委办公厅 国家能源局综合司关于进一步加强电力安全风险管控和隐患排查治理督办通报工作的通知》（发改办能源﹝2021﹞68号）、</w:t>
      </w:r>
      <w:r>
        <w:rPr>
          <w:rFonts w:hint="eastAsia"/>
        </w:rPr>
        <w:t>《国家发展改革委办公厅 国家能源局综合司关于进一步加强电力安全风险分级管控和隐患排查治理工作的通知》</w:t>
      </w:r>
      <w:r>
        <w:rPr>
          <w:rFonts w:hint="eastAsia"/>
          <w:lang w:val="en-US" w:eastAsia="zh-CN"/>
        </w:rPr>
        <w:t>（发改办能源﹝2021﹞641号）</w:t>
      </w:r>
      <w:r>
        <w:rPr>
          <w:rFonts w:hint="eastAsia"/>
          <w:lang w:eastAsia="zh-CN"/>
        </w:rPr>
        <w:t>，</w:t>
      </w:r>
      <w:r>
        <w:rPr>
          <w:rFonts w:hint="eastAsia"/>
          <w:lang w:val="en-US" w:eastAsia="zh-CN"/>
        </w:rPr>
        <w:t>完善了</w:t>
      </w:r>
      <w:r>
        <w:rPr>
          <w:rFonts w:hint="eastAsia"/>
        </w:rPr>
        <w:t>挂牌督办规定，进一步加大了督办力度。</w:t>
      </w:r>
      <w:r>
        <w:rPr>
          <w:rFonts w:hint="eastAsia"/>
          <w:lang w:val="en-US" w:eastAsia="zh-CN"/>
        </w:rPr>
        <w:t>同时，明确</w:t>
      </w:r>
      <w:r>
        <w:rPr>
          <w:rFonts w:hint="eastAsia"/>
        </w:rPr>
        <w:t>重大级以上隐患认定为企业主体责任，企业自主认定。</w:t>
      </w:r>
    </w:p>
    <w:p>
      <w:pPr>
        <w:keepNext w:val="0"/>
        <w:keepLines w:val="0"/>
        <w:pageBreakBefore w:val="0"/>
        <w:kinsoku/>
        <w:wordWrap/>
        <w:overflowPunct/>
        <w:topLinePunct w:val="0"/>
        <w:bidi w:val="0"/>
        <w:adjustRightInd w:val="0"/>
        <w:snapToGrid w:val="0"/>
        <w:spacing w:line="578" w:lineRule="exact"/>
        <w:ind w:left="0" w:leftChars="0" w:firstLine="643" w:firstLineChars="200"/>
        <w:textAlignment w:val="baseline"/>
        <w:rPr>
          <w:rFonts w:hint="eastAsia"/>
        </w:rPr>
      </w:pPr>
      <w:r>
        <w:rPr>
          <w:rFonts w:hint="eastAsia" w:ascii="仿宋_GB2312" w:hAnsi="宋体"/>
          <w:b/>
          <w:bCs/>
          <w:snapToGrid w:val="0"/>
          <w:sz w:val="32"/>
          <w:szCs w:val="32"/>
          <w:lang w:val="en-US" w:eastAsia="zh-CN"/>
        </w:rPr>
        <w:t>二是新增社会监督有关规定。</w:t>
      </w:r>
      <w:r>
        <w:rPr>
          <w:rFonts w:hint="eastAsia" w:ascii="Times New Roman" w:hAnsi="Times New Roman"/>
          <w:b w:val="0"/>
          <w:bCs w:val="0"/>
          <w:snapToGrid/>
          <w:sz w:val="32"/>
          <w:szCs w:val="24"/>
          <w:lang w:val="en-US" w:eastAsia="zh-CN"/>
        </w:rPr>
        <w:t>依据新</w:t>
      </w:r>
      <w:r>
        <w:rPr>
          <w:rFonts w:hint="eastAsia"/>
          <w:b w:val="0"/>
          <w:bCs w:val="0"/>
          <w:lang w:val="en-US" w:eastAsia="zh-CN"/>
        </w:rPr>
        <w:t>《安全生产法》，规定</w:t>
      </w:r>
      <w:r>
        <w:rPr>
          <w:rFonts w:hint="eastAsia"/>
        </w:rPr>
        <w:t>任何单位或者个人均有权向国家能源局及其派出机构、地方电力管理部门报告或者举报隐患。国家能源局及其派出机构、地方电力管理部门应当畅通投诉举报渠道。</w:t>
      </w:r>
    </w:p>
    <w:p>
      <w:pPr>
        <w:keepNext w:val="0"/>
        <w:keepLines w:val="0"/>
        <w:pageBreakBefore w:val="0"/>
        <w:kinsoku/>
        <w:wordWrap/>
        <w:overflowPunct/>
        <w:topLinePunct w:val="0"/>
        <w:bidi w:val="0"/>
        <w:adjustRightInd w:val="0"/>
        <w:snapToGrid w:val="0"/>
        <w:spacing w:line="578" w:lineRule="exact"/>
        <w:ind w:left="0" w:leftChars="0" w:firstLine="643" w:firstLineChars="200"/>
        <w:textAlignment w:val="baseline"/>
        <w:rPr>
          <w:rFonts w:hint="eastAsia"/>
          <w:lang w:eastAsia="zh-CN"/>
        </w:rPr>
      </w:pPr>
      <w:r>
        <w:rPr>
          <w:rFonts w:hint="eastAsia"/>
          <w:b/>
          <w:bCs/>
          <w:lang w:val="en-US" w:eastAsia="zh-CN"/>
        </w:rPr>
        <w:t>三是完善停工停产有关规定。</w:t>
      </w:r>
      <w:r>
        <w:rPr>
          <w:rFonts w:hint="eastAsia" w:ascii="Times New Roman" w:hAnsi="Times New Roman"/>
          <w:b w:val="0"/>
          <w:bCs w:val="0"/>
          <w:snapToGrid/>
          <w:sz w:val="32"/>
          <w:szCs w:val="24"/>
          <w:lang w:val="en-US" w:eastAsia="zh-CN"/>
        </w:rPr>
        <w:t>依据新</w:t>
      </w:r>
      <w:r>
        <w:rPr>
          <w:rFonts w:hint="eastAsia"/>
          <w:b w:val="0"/>
          <w:bCs w:val="0"/>
          <w:lang w:val="en-US" w:eastAsia="zh-CN"/>
        </w:rPr>
        <w:t>《安全生产法》，规定</w:t>
      </w:r>
      <w:r>
        <w:rPr>
          <w:rFonts w:hint="eastAsia"/>
          <w:lang w:eastAsia="zh-CN"/>
        </w:rPr>
        <w:t>国家能源局及其派出机构、</w:t>
      </w:r>
      <w:r>
        <w:rPr>
          <w:rFonts w:hint="eastAsia"/>
          <w:lang w:val="en-US" w:eastAsia="zh-CN"/>
        </w:rPr>
        <w:t>地方电力管理部门</w:t>
      </w:r>
      <w:r>
        <w:rPr>
          <w:rFonts w:hint="eastAsia"/>
          <w:lang w:eastAsia="zh-CN"/>
        </w:rPr>
        <w:t>对检查中发现的事故隐患，应当责令立即排除；</w:t>
      </w:r>
      <w:r>
        <w:rPr>
          <w:rFonts w:hint="eastAsia"/>
          <w:lang w:val="en-US" w:eastAsia="zh-CN"/>
        </w:rPr>
        <w:t>重大级以上</w:t>
      </w:r>
      <w:r>
        <w:rPr>
          <w:rFonts w:hint="eastAsia"/>
          <w:lang w:eastAsia="zh-CN"/>
        </w:rPr>
        <w:t>隐患排除前或者排除过程中无法保证安全的，应当责令从危险区域内撤出作业人员，责令暂时停产停业或者停止使用相关设施、设备。</w:t>
      </w:r>
    </w:p>
    <w:p>
      <w:pPr>
        <w:keepNext w:val="0"/>
        <w:keepLines w:val="0"/>
        <w:pageBreakBefore w:val="0"/>
        <w:kinsoku/>
        <w:wordWrap/>
        <w:overflowPunct/>
        <w:topLinePunct w:val="0"/>
        <w:bidi w:val="0"/>
        <w:adjustRightInd w:val="0"/>
        <w:snapToGrid w:val="0"/>
        <w:spacing w:line="578" w:lineRule="exact"/>
        <w:ind w:left="0" w:leftChars="0" w:firstLine="643" w:firstLineChars="200"/>
        <w:textAlignment w:val="baseline"/>
        <w:rPr>
          <w:rFonts w:hint="default" w:ascii="仿宋_GB2312" w:hAnsi="宋体" w:eastAsia="仿宋"/>
          <w:snapToGrid w:val="0"/>
          <w:sz w:val="32"/>
          <w:szCs w:val="32"/>
          <w:lang w:val="en-US" w:eastAsia="zh-CN"/>
        </w:rPr>
      </w:pPr>
      <w:r>
        <w:rPr>
          <w:rFonts w:hint="eastAsia"/>
          <w:b/>
          <w:bCs/>
          <w:lang w:val="en-US" w:eastAsia="zh-CN"/>
        </w:rPr>
        <w:t>四是增加联合惩戒及处罚相关规定。</w:t>
      </w:r>
      <w:r>
        <w:rPr>
          <w:rFonts w:hint="eastAsia" w:ascii="Times New Roman" w:hAnsi="Times New Roman"/>
          <w:b w:val="0"/>
          <w:bCs w:val="0"/>
          <w:snapToGrid/>
          <w:sz w:val="32"/>
          <w:szCs w:val="24"/>
          <w:lang w:val="en-US" w:eastAsia="zh-CN"/>
        </w:rPr>
        <w:t>依据新</w:t>
      </w:r>
      <w:r>
        <w:rPr>
          <w:rFonts w:hint="eastAsia"/>
          <w:b w:val="0"/>
          <w:bCs w:val="0"/>
          <w:lang w:val="en-US" w:eastAsia="zh-CN"/>
        </w:rPr>
        <w:t>《安全生产法》，</w:t>
      </w:r>
      <w:r>
        <w:rPr>
          <w:rFonts w:hint="eastAsia"/>
        </w:rPr>
        <w:t>对事故隐患治理不力导致事故发生的电力企业，将其行为录入</w:t>
      </w:r>
      <w:r>
        <w:rPr>
          <w:rFonts w:hint="eastAsia"/>
          <w:lang w:val="en-US" w:eastAsia="zh-CN"/>
        </w:rPr>
        <w:t>电力安全生产信用信息库</w:t>
      </w:r>
      <w:r>
        <w:rPr>
          <w:rFonts w:hint="eastAsia"/>
        </w:rPr>
        <w:t>；对违法行为情节严重的，依法向社会公告，并通报</w:t>
      </w:r>
      <w:r>
        <w:rPr>
          <w:rFonts w:hint="eastAsia"/>
          <w:lang w:val="en-US" w:eastAsia="zh-CN"/>
        </w:rPr>
        <w:t>有关部门</w:t>
      </w:r>
      <w:r>
        <w:rPr>
          <w:rFonts w:hint="eastAsia" w:ascii="仿宋_GB2312" w:hAnsi="宋体"/>
          <w:snapToGrid w:val="0"/>
          <w:sz w:val="32"/>
          <w:szCs w:val="32"/>
          <w:lang w:eastAsia="zh-CN"/>
        </w:rPr>
        <w:t>。</w:t>
      </w:r>
      <w:r>
        <w:rPr>
          <w:rFonts w:hint="eastAsia"/>
        </w:rPr>
        <w:t>电力企业未将事故隐患排查治理情况如实记录</w:t>
      </w:r>
      <w:r>
        <w:rPr>
          <w:rFonts w:hint="eastAsia"/>
          <w:lang w:val="en-US" w:eastAsia="zh-CN"/>
        </w:rPr>
        <w:t>等行为，将依据《安全生产法》进行处理。</w:t>
      </w:r>
    </w:p>
    <w:p>
      <w:pPr>
        <w:pStyle w:val="5"/>
        <w:numPr>
          <w:ilvl w:val="0"/>
          <w:numId w:val="0"/>
        </w:numPr>
        <w:bidi w:val="0"/>
        <w:ind w:leftChars="200" w:firstLine="0" w:firstLineChars="0"/>
      </w:pPr>
      <w:r>
        <w:rPr>
          <w:rFonts w:hint="eastAsia"/>
          <w:lang w:val="en-US" w:eastAsia="zh-CN"/>
        </w:rPr>
        <w:t>第六章 附则</w:t>
      </w:r>
    </w:p>
    <w:p>
      <w:pPr>
        <w:bidi w:val="0"/>
        <w:rPr>
          <w:rFonts w:hint="default" w:ascii="仿宋_GB2312" w:hAnsi="宋体" w:eastAsia="仿宋"/>
          <w:snapToGrid w:val="0"/>
          <w:sz w:val="32"/>
          <w:szCs w:val="32"/>
          <w:lang w:val="en-US" w:eastAsia="zh-CN"/>
        </w:rPr>
      </w:pPr>
      <w:r>
        <w:rPr>
          <w:rFonts w:hint="eastAsia"/>
          <w:color w:val="auto"/>
          <w:sz w:val="32"/>
          <w:szCs w:val="24"/>
          <w:vertAlign w:val="baseline"/>
          <w:lang w:val="en-US" w:eastAsia="zh-CN"/>
        </w:rPr>
        <w:t>删除了</w:t>
      </w:r>
      <w:r>
        <w:rPr>
          <w:rFonts w:hint="eastAsia"/>
          <w:lang w:val="en-US" w:eastAsia="zh-CN"/>
        </w:rPr>
        <w:t>电力企业制定管理办法或实施细则以及备案的要求</w:t>
      </w:r>
      <w:r>
        <w:rPr>
          <w:rFonts w:hint="eastAsia"/>
          <w:sz w:val="32"/>
          <w:szCs w:val="24"/>
          <w:vertAlign w:val="baseline"/>
          <w:lang w:val="en-US" w:eastAsia="zh-CN"/>
        </w:rPr>
        <w:t>。</w:t>
      </w:r>
    </w:p>
    <w:sectPr>
      <w:footerReference r:id="rId5" w:type="default"/>
      <w:pgSz w:w="11906" w:h="16838"/>
      <w:pgMar w:top="2098" w:right="1474" w:bottom="1984" w:left="1587" w:header="851" w:footer="992" w:gutter="0"/>
      <w:pgNumType w:fmt="decimal"/>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DE">
      <wne:acd wne:acdName="acd0"/>
    </wne:keymap>
  </wne:keymaps>
  <wne:acds>
    <wne:acd wne:argValue="AQAAAAA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hint="eastAsia" w:eastAsia="仿宋_GB2312"/>
        <w:sz w:val="24"/>
        <w:szCs w:val="24"/>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jc w:val="center"/>
                            <w:rPr>
                              <w:rFonts w:hint="eastAsia" w:eastAsia="仿宋_GB2312"/>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12"/>
                      <w:jc w:val="center"/>
                      <w:rPr>
                        <w:rFonts w:hint="eastAsia" w:eastAsia="仿宋_GB2312"/>
                        <w:sz w:val="24"/>
                        <w:szCs w:val="40"/>
                        <w:lang w:eastAsia="zh-CN"/>
                      </w:rPr>
                    </w:pPr>
                    <w:r>
                      <w:rPr>
                        <w:rFonts w:hint="eastAsia"/>
                        <w:sz w:val="24"/>
                        <w:szCs w:val="40"/>
                        <w:lang w:eastAsia="zh-CN"/>
                      </w:rPr>
                      <w:fldChar w:fldCharType="begin"/>
                    </w:r>
                    <w:r>
                      <w:rPr>
                        <w:rFonts w:hint="eastAsia"/>
                        <w:sz w:val="24"/>
                        <w:szCs w:val="40"/>
                        <w:lang w:eastAsia="zh-CN"/>
                      </w:rPr>
                      <w:instrText xml:space="preserve"> PAGE  \* MERGEFORMAT </w:instrText>
                    </w:r>
                    <w:r>
                      <w:rPr>
                        <w:rFonts w:hint="eastAsia"/>
                        <w:sz w:val="24"/>
                        <w:szCs w:val="40"/>
                        <w:lang w:eastAsia="zh-CN"/>
                      </w:rPr>
                      <w:fldChar w:fldCharType="separate"/>
                    </w:r>
                    <w:r>
                      <w:rPr>
                        <w:rFonts w:hint="eastAsia"/>
                        <w:sz w:val="24"/>
                        <w:szCs w:val="40"/>
                        <w:lang w:eastAsia="zh-CN"/>
                      </w:rPr>
                      <w:t>1</w:t>
                    </w:r>
                    <w:r>
                      <w:rPr>
                        <w:rFonts w:hint="eastAsia"/>
                        <w:sz w:val="24"/>
                        <w:szCs w:val="40"/>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492B65"/>
    <w:multiLevelType w:val="multilevel"/>
    <w:tmpl w:val="AE492B65"/>
    <w:lvl w:ilvl="0" w:tentative="0">
      <w:start w:val="1"/>
      <w:numFmt w:val="chineseCounting"/>
      <w:suff w:val="nothing"/>
      <w:lvlText w:val="%1"/>
      <w:lvlJc w:val="left"/>
      <w:pPr>
        <w:tabs>
          <w:tab w:val="left" w:pos="0"/>
        </w:tabs>
        <w:ind w:left="0" w:firstLine="400"/>
      </w:pPr>
      <w:rPr>
        <w:rFonts w:hint="eastAsia" w:ascii="宋体" w:hAnsi="宋体" w:eastAsia="宋体" w:cs="宋体"/>
      </w:rPr>
    </w:lvl>
    <w:lvl w:ilvl="1" w:tentative="0">
      <w:start w:val="1"/>
      <w:numFmt w:val="chineseCounting"/>
      <w:pStyle w:val="4"/>
      <w:suff w:val="nothing"/>
      <w:lvlText w:val="%2、"/>
      <w:lvlJc w:val="left"/>
      <w:pPr>
        <w:tabs>
          <w:tab w:val="left" w:pos="0"/>
        </w:tabs>
        <w:ind w:left="0" w:firstLine="0"/>
      </w:pPr>
      <w:rPr>
        <w:rFonts w:hint="eastAsia" w:ascii="宋体" w:hAnsi="宋体" w:eastAsia="黑体" w:cs="黑体"/>
        <w:sz w:val="32"/>
        <w:szCs w:val="32"/>
      </w:rPr>
    </w:lvl>
    <w:lvl w:ilvl="2" w:tentative="0">
      <w:start w:val="1"/>
      <w:numFmt w:val="chineseCounting"/>
      <w:pStyle w:val="5"/>
      <w:suff w:val="nothing"/>
      <w:lvlText w:val="（%3）"/>
      <w:lvlJc w:val="left"/>
      <w:pPr>
        <w:tabs>
          <w:tab w:val="left" w:pos="0"/>
        </w:tabs>
        <w:ind w:left="0" w:firstLine="0"/>
      </w:pPr>
      <w:rPr>
        <w:rFonts w:hint="eastAsia" w:ascii="宋体" w:hAnsi="宋体" w:eastAsia="楷体" w:cs="楷体"/>
        <w:sz w:val="32"/>
        <w:szCs w:val="32"/>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6F656291"/>
    <w:multiLevelType w:val="singleLevel"/>
    <w:tmpl w:val="6F656291"/>
    <w:lvl w:ilvl="0" w:tentative="0">
      <w:start w:val="1"/>
      <w:numFmt w:val="decimal"/>
      <w:pStyle w:val="7"/>
      <w:suff w:val="nothing"/>
      <w:lvlText w:val="%1．"/>
      <w:lvlJc w:val="left"/>
      <w:pPr>
        <w:ind w:left="0"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jMzM4M2NiZDQ2MmRjNmVkN2FjOTU1ZWM4ZTY2ZWYifQ=="/>
  </w:docVars>
  <w:rsids>
    <w:rsidRoot w:val="0E443406"/>
    <w:rsid w:val="0009585F"/>
    <w:rsid w:val="00110284"/>
    <w:rsid w:val="00226822"/>
    <w:rsid w:val="0027781A"/>
    <w:rsid w:val="002F1E14"/>
    <w:rsid w:val="004F0F0D"/>
    <w:rsid w:val="00627DB3"/>
    <w:rsid w:val="007A02BF"/>
    <w:rsid w:val="00875468"/>
    <w:rsid w:val="00C27B31"/>
    <w:rsid w:val="00C379BC"/>
    <w:rsid w:val="00D10D6E"/>
    <w:rsid w:val="010C7DFF"/>
    <w:rsid w:val="012409BC"/>
    <w:rsid w:val="012B30C6"/>
    <w:rsid w:val="015147DB"/>
    <w:rsid w:val="01C45B80"/>
    <w:rsid w:val="01DF7191"/>
    <w:rsid w:val="01F43B86"/>
    <w:rsid w:val="01FD5B37"/>
    <w:rsid w:val="021826F0"/>
    <w:rsid w:val="021E58B0"/>
    <w:rsid w:val="023137C6"/>
    <w:rsid w:val="023E677E"/>
    <w:rsid w:val="023F42AD"/>
    <w:rsid w:val="02652B5C"/>
    <w:rsid w:val="026860FD"/>
    <w:rsid w:val="027364B6"/>
    <w:rsid w:val="02FD1211"/>
    <w:rsid w:val="031C6C03"/>
    <w:rsid w:val="034679FA"/>
    <w:rsid w:val="03736E1A"/>
    <w:rsid w:val="039E7D48"/>
    <w:rsid w:val="04020013"/>
    <w:rsid w:val="04115C71"/>
    <w:rsid w:val="043B626F"/>
    <w:rsid w:val="045864E1"/>
    <w:rsid w:val="04861684"/>
    <w:rsid w:val="049828B9"/>
    <w:rsid w:val="04AD0FCC"/>
    <w:rsid w:val="04E01647"/>
    <w:rsid w:val="04F64F77"/>
    <w:rsid w:val="05205CB2"/>
    <w:rsid w:val="058E3478"/>
    <w:rsid w:val="05C04744"/>
    <w:rsid w:val="05D443EE"/>
    <w:rsid w:val="05F9578A"/>
    <w:rsid w:val="06100C3C"/>
    <w:rsid w:val="06111760"/>
    <w:rsid w:val="06121F4E"/>
    <w:rsid w:val="062B7D8E"/>
    <w:rsid w:val="062E127B"/>
    <w:rsid w:val="06386AB2"/>
    <w:rsid w:val="06431DB8"/>
    <w:rsid w:val="0659751C"/>
    <w:rsid w:val="0676320C"/>
    <w:rsid w:val="06955C25"/>
    <w:rsid w:val="06F46F28"/>
    <w:rsid w:val="06F95B4F"/>
    <w:rsid w:val="070271D2"/>
    <w:rsid w:val="070F4EC9"/>
    <w:rsid w:val="07106093"/>
    <w:rsid w:val="073631D5"/>
    <w:rsid w:val="075702AF"/>
    <w:rsid w:val="07882914"/>
    <w:rsid w:val="079D612F"/>
    <w:rsid w:val="07B67664"/>
    <w:rsid w:val="07B82064"/>
    <w:rsid w:val="08010526"/>
    <w:rsid w:val="083D3BD4"/>
    <w:rsid w:val="084058C5"/>
    <w:rsid w:val="08674B8F"/>
    <w:rsid w:val="08D507EB"/>
    <w:rsid w:val="08F22EEE"/>
    <w:rsid w:val="090B1BC1"/>
    <w:rsid w:val="090F4E04"/>
    <w:rsid w:val="091823C5"/>
    <w:rsid w:val="094B3C4E"/>
    <w:rsid w:val="097D2D6B"/>
    <w:rsid w:val="09866A95"/>
    <w:rsid w:val="09BF0C26"/>
    <w:rsid w:val="09CB04F1"/>
    <w:rsid w:val="09D7375B"/>
    <w:rsid w:val="09DA3AE3"/>
    <w:rsid w:val="09F07868"/>
    <w:rsid w:val="0A27015B"/>
    <w:rsid w:val="0A474359"/>
    <w:rsid w:val="0A6D3F48"/>
    <w:rsid w:val="0A771BD9"/>
    <w:rsid w:val="0ACF69C8"/>
    <w:rsid w:val="0AD53E4D"/>
    <w:rsid w:val="0B016B45"/>
    <w:rsid w:val="0B1D62E8"/>
    <w:rsid w:val="0B324736"/>
    <w:rsid w:val="0B3D6506"/>
    <w:rsid w:val="0B506784"/>
    <w:rsid w:val="0B5928BF"/>
    <w:rsid w:val="0B6F021B"/>
    <w:rsid w:val="0B7B6325"/>
    <w:rsid w:val="0B8547A3"/>
    <w:rsid w:val="0B897106"/>
    <w:rsid w:val="0B8A55BE"/>
    <w:rsid w:val="0BB53741"/>
    <w:rsid w:val="0BC06369"/>
    <w:rsid w:val="0C16398A"/>
    <w:rsid w:val="0C565F0E"/>
    <w:rsid w:val="0C720EE7"/>
    <w:rsid w:val="0C8E0703"/>
    <w:rsid w:val="0CA31E26"/>
    <w:rsid w:val="0CAC6289"/>
    <w:rsid w:val="0CC0363E"/>
    <w:rsid w:val="0CDA1302"/>
    <w:rsid w:val="0CE415E2"/>
    <w:rsid w:val="0D2C70D4"/>
    <w:rsid w:val="0DAA7A81"/>
    <w:rsid w:val="0DE8248D"/>
    <w:rsid w:val="0E090964"/>
    <w:rsid w:val="0E221FA9"/>
    <w:rsid w:val="0E443406"/>
    <w:rsid w:val="0E555416"/>
    <w:rsid w:val="0E7359CD"/>
    <w:rsid w:val="0E83792A"/>
    <w:rsid w:val="0E8421B7"/>
    <w:rsid w:val="0EB006D1"/>
    <w:rsid w:val="0EB421D9"/>
    <w:rsid w:val="0EF85C04"/>
    <w:rsid w:val="0F046CBD"/>
    <w:rsid w:val="0F2E25D4"/>
    <w:rsid w:val="0F6C692B"/>
    <w:rsid w:val="0F7365AC"/>
    <w:rsid w:val="0F750575"/>
    <w:rsid w:val="0F82285E"/>
    <w:rsid w:val="0FAD525D"/>
    <w:rsid w:val="0FB377B4"/>
    <w:rsid w:val="0FD22EA9"/>
    <w:rsid w:val="0FD94333"/>
    <w:rsid w:val="0FF33223"/>
    <w:rsid w:val="10016F8D"/>
    <w:rsid w:val="102A5D33"/>
    <w:rsid w:val="10564441"/>
    <w:rsid w:val="10A24D21"/>
    <w:rsid w:val="10B46643"/>
    <w:rsid w:val="10F35C2E"/>
    <w:rsid w:val="1105150F"/>
    <w:rsid w:val="110D2956"/>
    <w:rsid w:val="11180F21"/>
    <w:rsid w:val="11262CB7"/>
    <w:rsid w:val="112C7446"/>
    <w:rsid w:val="11625F1D"/>
    <w:rsid w:val="116C2F03"/>
    <w:rsid w:val="117231BD"/>
    <w:rsid w:val="11801A3B"/>
    <w:rsid w:val="11AF03B3"/>
    <w:rsid w:val="11B46AA2"/>
    <w:rsid w:val="11B84F5D"/>
    <w:rsid w:val="11CA166D"/>
    <w:rsid w:val="11CD77C4"/>
    <w:rsid w:val="11EB61D9"/>
    <w:rsid w:val="122B632C"/>
    <w:rsid w:val="12684D91"/>
    <w:rsid w:val="12687593"/>
    <w:rsid w:val="12907780"/>
    <w:rsid w:val="12966AA4"/>
    <w:rsid w:val="12AF5A92"/>
    <w:rsid w:val="12BF2E60"/>
    <w:rsid w:val="12C60476"/>
    <w:rsid w:val="12D808E9"/>
    <w:rsid w:val="12ED09B1"/>
    <w:rsid w:val="13187927"/>
    <w:rsid w:val="131B0088"/>
    <w:rsid w:val="13321EEE"/>
    <w:rsid w:val="13335177"/>
    <w:rsid w:val="133E233D"/>
    <w:rsid w:val="13681C77"/>
    <w:rsid w:val="13B519FD"/>
    <w:rsid w:val="13CD15BF"/>
    <w:rsid w:val="13D71D4E"/>
    <w:rsid w:val="13D966F4"/>
    <w:rsid w:val="14037336"/>
    <w:rsid w:val="14152226"/>
    <w:rsid w:val="14297867"/>
    <w:rsid w:val="143A6043"/>
    <w:rsid w:val="144514F4"/>
    <w:rsid w:val="14471BED"/>
    <w:rsid w:val="14562B6A"/>
    <w:rsid w:val="145C19BD"/>
    <w:rsid w:val="146947BD"/>
    <w:rsid w:val="14751E26"/>
    <w:rsid w:val="14BF71E2"/>
    <w:rsid w:val="14F01439"/>
    <w:rsid w:val="150056AC"/>
    <w:rsid w:val="153D41D3"/>
    <w:rsid w:val="155923A6"/>
    <w:rsid w:val="15651C5D"/>
    <w:rsid w:val="15774136"/>
    <w:rsid w:val="15836462"/>
    <w:rsid w:val="15995BBE"/>
    <w:rsid w:val="15C66192"/>
    <w:rsid w:val="15DF632C"/>
    <w:rsid w:val="160C7B86"/>
    <w:rsid w:val="16107443"/>
    <w:rsid w:val="16247E83"/>
    <w:rsid w:val="16265E55"/>
    <w:rsid w:val="16516EB1"/>
    <w:rsid w:val="16687103"/>
    <w:rsid w:val="167800FD"/>
    <w:rsid w:val="168A2841"/>
    <w:rsid w:val="169632C1"/>
    <w:rsid w:val="16BA0E80"/>
    <w:rsid w:val="16CE195E"/>
    <w:rsid w:val="16FA2399"/>
    <w:rsid w:val="173020E9"/>
    <w:rsid w:val="174C471B"/>
    <w:rsid w:val="174D5D1C"/>
    <w:rsid w:val="176C6D2A"/>
    <w:rsid w:val="17722A14"/>
    <w:rsid w:val="177612C3"/>
    <w:rsid w:val="179F64D8"/>
    <w:rsid w:val="17B604BB"/>
    <w:rsid w:val="17B87E26"/>
    <w:rsid w:val="17C74D2B"/>
    <w:rsid w:val="17DF23FD"/>
    <w:rsid w:val="17FF7C0D"/>
    <w:rsid w:val="183109E2"/>
    <w:rsid w:val="184E1EF8"/>
    <w:rsid w:val="185C1F4A"/>
    <w:rsid w:val="18630266"/>
    <w:rsid w:val="18B354EB"/>
    <w:rsid w:val="18BD5F3F"/>
    <w:rsid w:val="18CE4729"/>
    <w:rsid w:val="18EC434D"/>
    <w:rsid w:val="191671A1"/>
    <w:rsid w:val="1977157C"/>
    <w:rsid w:val="19831947"/>
    <w:rsid w:val="198B3B37"/>
    <w:rsid w:val="19C93FD0"/>
    <w:rsid w:val="19D31B8D"/>
    <w:rsid w:val="19F50643"/>
    <w:rsid w:val="19FD56CB"/>
    <w:rsid w:val="1A210F6D"/>
    <w:rsid w:val="1A230023"/>
    <w:rsid w:val="1A3428CA"/>
    <w:rsid w:val="1A3F2907"/>
    <w:rsid w:val="1A7837CA"/>
    <w:rsid w:val="1A80310D"/>
    <w:rsid w:val="1A8B6DBA"/>
    <w:rsid w:val="1ACD570D"/>
    <w:rsid w:val="1AD15C67"/>
    <w:rsid w:val="1AE95C51"/>
    <w:rsid w:val="1AEB306C"/>
    <w:rsid w:val="1B4514D9"/>
    <w:rsid w:val="1B9F3B5C"/>
    <w:rsid w:val="1BE83125"/>
    <w:rsid w:val="1BF500EF"/>
    <w:rsid w:val="1BF86DFA"/>
    <w:rsid w:val="1C2269A1"/>
    <w:rsid w:val="1C2E120F"/>
    <w:rsid w:val="1C305396"/>
    <w:rsid w:val="1C33298F"/>
    <w:rsid w:val="1C79145A"/>
    <w:rsid w:val="1C971C47"/>
    <w:rsid w:val="1CA77DF7"/>
    <w:rsid w:val="1CAD1183"/>
    <w:rsid w:val="1CC44987"/>
    <w:rsid w:val="1CC67CDA"/>
    <w:rsid w:val="1CD14937"/>
    <w:rsid w:val="1CED3D6C"/>
    <w:rsid w:val="1D024D2B"/>
    <w:rsid w:val="1D275050"/>
    <w:rsid w:val="1D7710A4"/>
    <w:rsid w:val="1D8E03F8"/>
    <w:rsid w:val="1DB02CF7"/>
    <w:rsid w:val="1DCF25E0"/>
    <w:rsid w:val="1DF816B2"/>
    <w:rsid w:val="1DFD692B"/>
    <w:rsid w:val="1E092146"/>
    <w:rsid w:val="1E0A56F1"/>
    <w:rsid w:val="1E1C3C60"/>
    <w:rsid w:val="1E3D0E98"/>
    <w:rsid w:val="1E751EE5"/>
    <w:rsid w:val="1E872030"/>
    <w:rsid w:val="1EA07C2F"/>
    <w:rsid w:val="1EA249FA"/>
    <w:rsid w:val="1EA9501D"/>
    <w:rsid w:val="1F0E6BC0"/>
    <w:rsid w:val="1F403297"/>
    <w:rsid w:val="1F617CBB"/>
    <w:rsid w:val="1F8F5E54"/>
    <w:rsid w:val="1F9D1AD0"/>
    <w:rsid w:val="1FAE47EC"/>
    <w:rsid w:val="1FB32FCF"/>
    <w:rsid w:val="1FE06D64"/>
    <w:rsid w:val="1FFE650C"/>
    <w:rsid w:val="202A63FB"/>
    <w:rsid w:val="202D5DC2"/>
    <w:rsid w:val="20747B74"/>
    <w:rsid w:val="207812B9"/>
    <w:rsid w:val="207E5502"/>
    <w:rsid w:val="208C0EFF"/>
    <w:rsid w:val="20947DAF"/>
    <w:rsid w:val="20A43505"/>
    <w:rsid w:val="20C81768"/>
    <w:rsid w:val="20FB6440"/>
    <w:rsid w:val="20FE2F7C"/>
    <w:rsid w:val="21151D36"/>
    <w:rsid w:val="21154B92"/>
    <w:rsid w:val="21203BB3"/>
    <w:rsid w:val="213219F0"/>
    <w:rsid w:val="21546A7F"/>
    <w:rsid w:val="21563E0A"/>
    <w:rsid w:val="21E962D9"/>
    <w:rsid w:val="220A4351"/>
    <w:rsid w:val="22372B7F"/>
    <w:rsid w:val="2237670C"/>
    <w:rsid w:val="223B7950"/>
    <w:rsid w:val="22662155"/>
    <w:rsid w:val="226C00E1"/>
    <w:rsid w:val="228001CD"/>
    <w:rsid w:val="228F5F0E"/>
    <w:rsid w:val="229932EE"/>
    <w:rsid w:val="22AA3FE0"/>
    <w:rsid w:val="22DA257C"/>
    <w:rsid w:val="22E814B9"/>
    <w:rsid w:val="22F801D6"/>
    <w:rsid w:val="231A6C77"/>
    <w:rsid w:val="23371F2F"/>
    <w:rsid w:val="236A40E2"/>
    <w:rsid w:val="23B96F30"/>
    <w:rsid w:val="23D8238A"/>
    <w:rsid w:val="240F4688"/>
    <w:rsid w:val="24153EC2"/>
    <w:rsid w:val="24340509"/>
    <w:rsid w:val="243F554F"/>
    <w:rsid w:val="244E133E"/>
    <w:rsid w:val="245E217B"/>
    <w:rsid w:val="24654088"/>
    <w:rsid w:val="246979BF"/>
    <w:rsid w:val="24BC7E79"/>
    <w:rsid w:val="24D659ED"/>
    <w:rsid w:val="24DC39A8"/>
    <w:rsid w:val="24E625BE"/>
    <w:rsid w:val="250E536B"/>
    <w:rsid w:val="25330EC5"/>
    <w:rsid w:val="253D7CF0"/>
    <w:rsid w:val="2577537B"/>
    <w:rsid w:val="25BA2C18"/>
    <w:rsid w:val="25C3548E"/>
    <w:rsid w:val="25CB1323"/>
    <w:rsid w:val="25CE65C6"/>
    <w:rsid w:val="25D13469"/>
    <w:rsid w:val="25DF2EC2"/>
    <w:rsid w:val="25EA647D"/>
    <w:rsid w:val="261247E9"/>
    <w:rsid w:val="262411AC"/>
    <w:rsid w:val="263259BF"/>
    <w:rsid w:val="26597D70"/>
    <w:rsid w:val="265F21C2"/>
    <w:rsid w:val="26614F07"/>
    <w:rsid w:val="26741DE9"/>
    <w:rsid w:val="26930547"/>
    <w:rsid w:val="26AB4DC2"/>
    <w:rsid w:val="26AC3A6A"/>
    <w:rsid w:val="26DB43AF"/>
    <w:rsid w:val="26F722CA"/>
    <w:rsid w:val="270261D2"/>
    <w:rsid w:val="27042E5F"/>
    <w:rsid w:val="27124FEB"/>
    <w:rsid w:val="273501F9"/>
    <w:rsid w:val="27367EF8"/>
    <w:rsid w:val="274641AA"/>
    <w:rsid w:val="275B3FF8"/>
    <w:rsid w:val="27AC700D"/>
    <w:rsid w:val="28100F73"/>
    <w:rsid w:val="28464F4D"/>
    <w:rsid w:val="284977A1"/>
    <w:rsid w:val="285B229A"/>
    <w:rsid w:val="28694F74"/>
    <w:rsid w:val="286B6916"/>
    <w:rsid w:val="28CB5250"/>
    <w:rsid w:val="28CE5B62"/>
    <w:rsid w:val="29042251"/>
    <w:rsid w:val="29077683"/>
    <w:rsid w:val="293445C2"/>
    <w:rsid w:val="29447B14"/>
    <w:rsid w:val="29573D33"/>
    <w:rsid w:val="297F474D"/>
    <w:rsid w:val="29BF6C63"/>
    <w:rsid w:val="29D65E1C"/>
    <w:rsid w:val="29FE397B"/>
    <w:rsid w:val="2A0E0598"/>
    <w:rsid w:val="2A146F66"/>
    <w:rsid w:val="2A173ADD"/>
    <w:rsid w:val="2A4B5AFA"/>
    <w:rsid w:val="2A4C5D7F"/>
    <w:rsid w:val="2A5E0120"/>
    <w:rsid w:val="2A5E735F"/>
    <w:rsid w:val="2A6A1358"/>
    <w:rsid w:val="2A975406"/>
    <w:rsid w:val="2AA16D68"/>
    <w:rsid w:val="2AAC5F67"/>
    <w:rsid w:val="2ABC7A5F"/>
    <w:rsid w:val="2AEC7B14"/>
    <w:rsid w:val="2AED6AE4"/>
    <w:rsid w:val="2B060695"/>
    <w:rsid w:val="2B1320A2"/>
    <w:rsid w:val="2B287B27"/>
    <w:rsid w:val="2B461CBD"/>
    <w:rsid w:val="2B4A33BA"/>
    <w:rsid w:val="2B6241D5"/>
    <w:rsid w:val="2B673469"/>
    <w:rsid w:val="2B8F461F"/>
    <w:rsid w:val="2B943CA2"/>
    <w:rsid w:val="2B9D6D28"/>
    <w:rsid w:val="2BA14C31"/>
    <w:rsid w:val="2BBE170D"/>
    <w:rsid w:val="2BD55811"/>
    <w:rsid w:val="2BE35F5E"/>
    <w:rsid w:val="2C175E2F"/>
    <w:rsid w:val="2C204DB8"/>
    <w:rsid w:val="2C245869"/>
    <w:rsid w:val="2C271265"/>
    <w:rsid w:val="2C340DD9"/>
    <w:rsid w:val="2C3B46EC"/>
    <w:rsid w:val="2C3D6E72"/>
    <w:rsid w:val="2C4955B5"/>
    <w:rsid w:val="2C9D0006"/>
    <w:rsid w:val="2CA62D0A"/>
    <w:rsid w:val="2CAC0840"/>
    <w:rsid w:val="2CBC3852"/>
    <w:rsid w:val="2CD02CB5"/>
    <w:rsid w:val="2CD8628F"/>
    <w:rsid w:val="2CED30F9"/>
    <w:rsid w:val="2CF16269"/>
    <w:rsid w:val="2D3D2F4F"/>
    <w:rsid w:val="2D76005B"/>
    <w:rsid w:val="2D87594D"/>
    <w:rsid w:val="2D932171"/>
    <w:rsid w:val="2DA61F9F"/>
    <w:rsid w:val="2DAB1F9B"/>
    <w:rsid w:val="2DCF13CD"/>
    <w:rsid w:val="2DED2060"/>
    <w:rsid w:val="2DF70518"/>
    <w:rsid w:val="2E2761FE"/>
    <w:rsid w:val="2E3A6F34"/>
    <w:rsid w:val="2E4D2C11"/>
    <w:rsid w:val="2EB04148"/>
    <w:rsid w:val="2EB115EE"/>
    <w:rsid w:val="2EBB2202"/>
    <w:rsid w:val="2EC52166"/>
    <w:rsid w:val="2ED40029"/>
    <w:rsid w:val="2EDD3500"/>
    <w:rsid w:val="2F261CD3"/>
    <w:rsid w:val="2F967065"/>
    <w:rsid w:val="2FC44B2D"/>
    <w:rsid w:val="2FDB4A93"/>
    <w:rsid w:val="2FE9172F"/>
    <w:rsid w:val="30266EBE"/>
    <w:rsid w:val="30290750"/>
    <w:rsid w:val="304C062A"/>
    <w:rsid w:val="3056769A"/>
    <w:rsid w:val="3066606F"/>
    <w:rsid w:val="307A6987"/>
    <w:rsid w:val="30853C3B"/>
    <w:rsid w:val="30BD12F6"/>
    <w:rsid w:val="30DD645F"/>
    <w:rsid w:val="31196B41"/>
    <w:rsid w:val="3126270B"/>
    <w:rsid w:val="314064E5"/>
    <w:rsid w:val="31774EFD"/>
    <w:rsid w:val="3180586A"/>
    <w:rsid w:val="31830D42"/>
    <w:rsid w:val="31973569"/>
    <w:rsid w:val="31E424C0"/>
    <w:rsid w:val="3226309A"/>
    <w:rsid w:val="322F7440"/>
    <w:rsid w:val="324E27C8"/>
    <w:rsid w:val="325211AB"/>
    <w:rsid w:val="32553156"/>
    <w:rsid w:val="3265239F"/>
    <w:rsid w:val="32793475"/>
    <w:rsid w:val="327F636F"/>
    <w:rsid w:val="328D666D"/>
    <w:rsid w:val="329B67BD"/>
    <w:rsid w:val="32AC6BA0"/>
    <w:rsid w:val="32D35BDC"/>
    <w:rsid w:val="32F30173"/>
    <w:rsid w:val="32FE077B"/>
    <w:rsid w:val="332F1000"/>
    <w:rsid w:val="332F3BFB"/>
    <w:rsid w:val="333D15EB"/>
    <w:rsid w:val="336E051F"/>
    <w:rsid w:val="337D6064"/>
    <w:rsid w:val="33AE5673"/>
    <w:rsid w:val="33CE0FEE"/>
    <w:rsid w:val="33E41B40"/>
    <w:rsid w:val="34162CB2"/>
    <w:rsid w:val="34423A68"/>
    <w:rsid w:val="34B76C17"/>
    <w:rsid w:val="34C97EB9"/>
    <w:rsid w:val="34D05527"/>
    <w:rsid w:val="34D07207"/>
    <w:rsid w:val="34D7282A"/>
    <w:rsid w:val="34D81FBE"/>
    <w:rsid w:val="34FF3DDA"/>
    <w:rsid w:val="35247557"/>
    <w:rsid w:val="352B48CB"/>
    <w:rsid w:val="352D4FE2"/>
    <w:rsid w:val="353B2F43"/>
    <w:rsid w:val="354A18AB"/>
    <w:rsid w:val="354A3610"/>
    <w:rsid w:val="354F30ED"/>
    <w:rsid w:val="35702107"/>
    <w:rsid w:val="35777B3C"/>
    <w:rsid w:val="35843446"/>
    <w:rsid w:val="359C45B6"/>
    <w:rsid w:val="35BA722C"/>
    <w:rsid w:val="361E29B0"/>
    <w:rsid w:val="36315450"/>
    <w:rsid w:val="36321EB6"/>
    <w:rsid w:val="363F602D"/>
    <w:rsid w:val="36702AA3"/>
    <w:rsid w:val="369116A4"/>
    <w:rsid w:val="369F53EB"/>
    <w:rsid w:val="36A239BF"/>
    <w:rsid w:val="36AF50C6"/>
    <w:rsid w:val="36B3560F"/>
    <w:rsid w:val="36FF1724"/>
    <w:rsid w:val="370A644E"/>
    <w:rsid w:val="377A379B"/>
    <w:rsid w:val="379A03B7"/>
    <w:rsid w:val="37AE00E4"/>
    <w:rsid w:val="37E11561"/>
    <w:rsid w:val="38016112"/>
    <w:rsid w:val="382B2308"/>
    <w:rsid w:val="382B34F4"/>
    <w:rsid w:val="38315C24"/>
    <w:rsid w:val="3834338A"/>
    <w:rsid w:val="386167FE"/>
    <w:rsid w:val="38741478"/>
    <w:rsid w:val="38856FF4"/>
    <w:rsid w:val="388D5B6A"/>
    <w:rsid w:val="38B81C3A"/>
    <w:rsid w:val="38C903A9"/>
    <w:rsid w:val="38D34E86"/>
    <w:rsid w:val="3920669F"/>
    <w:rsid w:val="3928542A"/>
    <w:rsid w:val="3929485E"/>
    <w:rsid w:val="39666973"/>
    <w:rsid w:val="39680F46"/>
    <w:rsid w:val="39693F33"/>
    <w:rsid w:val="397A0342"/>
    <w:rsid w:val="397D1351"/>
    <w:rsid w:val="3996579F"/>
    <w:rsid w:val="399B6E4A"/>
    <w:rsid w:val="39E11A28"/>
    <w:rsid w:val="39EC5D12"/>
    <w:rsid w:val="3A024A60"/>
    <w:rsid w:val="3A251CE2"/>
    <w:rsid w:val="3A2610E1"/>
    <w:rsid w:val="3A354326"/>
    <w:rsid w:val="3A3A1861"/>
    <w:rsid w:val="3A742398"/>
    <w:rsid w:val="3B194FEF"/>
    <w:rsid w:val="3B573EB8"/>
    <w:rsid w:val="3B5B013D"/>
    <w:rsid w:val="3B6C728A"/>
    <w:rsid w:val="3B7D546A"/>
    <w:rsid w:val="3B89531C"/>
    <w:rsid w:val="3B940F7D"/>
    <w:rsid w:val="3BC75B75"/>
    <w:rsid w:val="3BE2451F"/>
    <w:rsid w:val="3BEE2FA4"/>
    <w:rsid w:val="3C16687D"/>
    <w:rsid w:val="3C6C5506"/>
    <w:rsid w:val="3C7136DB"/>
    <w:rsid w:val="3CAA6898"/>
    <w:rsid w:val="3CC66B4B"/>
    <w:rsid w:val="3CCE71EB"/>
    <w:rsid w:val="3CE00273"/>
    <w:rsid w:val="3CE47F17"/>
    <w:rsid w:val="3CE5440D"/>
    <w:rsid w:val="3D005D72"/>
    <w:rsid w:val="3D10475F"/>
    <w:rsid w:val="3D41536A"/>
    <w:rsid w:val="3D601230"/>
    <w:rsid w:val="3D7E567E"/>
    <w:rsid w:val="3D9C1903"/>
    <w:rsid w:val="3DB259CA"/>
    <w:rsid w:val="3DDA3F00"/>
    <w:rsid w:val="3DE77692"/>
    <w:rsid w:val="3E02519F"/>
    <w:rsid w:val="3E0F65A1"/>
    <w:rsid w:val="3E1C066C"/>
    <w:rsid w:val="3E387711"/>
    <w:rsid w:val="3E3F4D6C"/>
    <w:rsid w:val="3E4D33B6"/>
    <w:rsid w:val="3E7A4613"/>
    <w:rsid w:val="3E807BCA"/>
    <w:rsid w:val="3E91103A"/>
    <w:rsid w:val="3E992793"/>
    <w:rsid w:val="3EA61707"/>
    <w:rsid w:val="3EC74766"/>
    <w:rsid w:val="3EC96D30"/>
    <w:rsid w:val="3ED033A5"/>
    <w:rsid w:val="3EDE42A1"/>
    <w:rsid w:val="3EF423DB"/>
    <w:rsid w:val="3F123E69"/>
    <w:rsid w:val="3F12729B"/>
    <w:rsid w:val="3F1B2CD0"/>
    <w:rsid w:val="3F3432F4"/>
    <w:rsid w:val="3F460596"/>
    <w:rsid w:val="3F5D6047"/>
    <w:rsid w:val="3FA13A8B"/>
    <w:rsid w:val="3FAF1C5C"/>
    <w:rsid w:val="3FCD0C6D"/>
    <w:rsid w:val="400A5641"/>
    <w:rsid w:val="40156138"/>
    <w:rsid w:val="403E28EB"/>
    <w:rsid w:val="40494508"/>
    <w:rsid w:val="407B2152"/>
    <w:rsid w:val="40896E3A"/>
    <w:rsid w:val="409B0F0E"/>
    <w:rsid w:val="40A02C19"/>
    <w:rsid w:val="40A7002F"/>
    <w:rsid w:val="40A73934"/>
    <w:rsid w:val="40AC739F"/>
    <w:rsid w:val="40DD7569"/>
    <w:rsid w:val="40FB2735"/>
    <w:rsid w:val="41175B2C"/>
    <w:rsid w:val="411C1395"/>
    <w:rsid w:val="41267ABA"/>
    <w:rsid w:val="4135670F"/>
    <w:rsid w:val="41446691"/>
    <w:rsid w:val="415E3A2D"/>
    <w:rsid w:val="416304E6"/>
    <w:rsid w:val="41855C78"/>
    <w:rsid w:val="41905127"/>
    <w:rsid w:val="419D76C4"/>
    <w:rsid w:val="41E9571B"/>
    <w:rsid w:val="41F878CC"/>
    <w:rsid w:val="41FF1DB4"/>
    <w:rsid w:val="42030435"/>
    <w:rsid w:val="42111D87"/>
    <w:rsid w:val="42155CF8"/>
    <w:rsid w:val="423B3B10"/>
    <w:rsid w:val="42524E72"/>
    <w:rsid w:val="42583B1C"/>
    <w:rsid w:val="42A96C58"/>
    <w:rsid w:val="42CA5B73"/>
    <w:rsid w:val="42FA552D"/>
    <w:rsid w:val="430226BE"/>
    <w:rsid w:val="43127477"/>
    <w:rsid w:val="43590863"/>
    <w:rsid w:val="43751FDD"/>
    <w:rsid w:val="438879E3"/>
    <w:rsid w:val="439233DD"/>
    <w:rsid w:val="43A315A9"/>
    <w:rsid w:val="43CF26EE"/>
    <w:rsid w:val="43EC504E"/>
    <w:rsid w:val="44135035"/>
    <w:rsid w:val="44247DD8"/>
    <w:rsid w:val="44284C3B"/>
    <w:rsid w:val="444C29B0"/>
    <w:rsid w:val="444C5AC0"/>
    <w:rsid w:val="44742B54"/>
    <w:rsid w:val="447E0BE5"/>
    <w:rsid w:val="44866D3D"/>
    <w:rsid w:val="44D4340C"/>
    <w:rsid w:val="44DF15D6"/>
    <w:rsid w:val="453A5226"/>
    <w:rsid w:val="45B05C59"/>
    <w:rsid w:val="45C45ACA"/>
    <w:rsid w:val="45E7320E"/>
    <w:rsid w:val="45FC35EE"/>
    <w:rsid w:val="46105D8D"/>
    <w:rsid w:val="46367FB1"/>
    <w:rsid w:val="463B4634"/>
    <w:rsid w:val="463F02C9"/>
    <w:rsid w:val="46710ED3"/>
    <w:rsid w:val="46EA3386"/>
    <w:rsid w:val="470E7CD9"/>
    <w:rsid w:val="472671AA"/>
    <w:rsid w:val="47422589"/>
    <w:rsid w:val="476945C1"/>
    <w:rsid w:val="47A71801"/>
    <w:rsid w:val="47AA14D2"/>
    <w:rsid w:val="47C016D8"/>
    <w:rsid w:val="47EF5527"/>
    <w:rsid w:val="47F84572"/>
    <w:rsid w:val="48447BD2"/>
    <w:rsid w:val="4861761A"/>
    <w:rsid w:val="48864812"/>
    <w:rsid w:val="488B0E3F"/>
    <w:rsid w:val="488F3D23"/>
    <w:rsid w:val="48C55EA1"/>
    <w:rsid w:val="48DC7F67"/>
    <w:rsid w:val="48FB0BF5"/>
    <w:rsid w:val="49172075"/>
    <w:rsid w:val="49182736"/>
    <w:rsid w:val="49250F54"/>
    <w:rsid w:val="49412D5A"/>
    <w:rsid w:val="49616E20"/>
    <w:rsid w:val="49874BBE"/>
    <w:rsid w:val="49927DFF"/>
    <w:rsid w:val="49A524B7"/>
    <w:rsid w:val="49BB5AEA"/>
    <w:rsid w:val="4A015A02"/>
    <w:rsid w:val="4A193364"/>
    <w:rsid w:val="4A65689D"/>
    <w:rsid w:val="4A7F29D0"/>
    <w:rsid w:val="4A8E65E7"/>
    <w:rsid w:val="4AA74182"/>
    <w:rsid w:val="4AE1147C"/>
    <w:rsid w:val="4AE34AD9"/>
    <w:rsid w:val="4AEE310B"/>
    <w:rsid w:val="4AF145E6"/>
    <w:rsid w:val="4B005226"/>
    <w:rsid w:val="4B0520C0"/>
    <w:rsid w:val="4B285834"/>
    <w:rsid w:val="4B37005E"/>
    <w:rsid w:val="4B577B93"/>
    <w:rsid w:val="4B7F7068"/>
    <w:rsid w:val="4B883FE2"/>
    <w:rsid w:val="4BB83F82"/>
    <w:rsid w:val="4BCC726B"/>
    <w:rsid w:val="4BE629BB"/>
    <w:rsid w:val="4C172699"/>
    <w:rsid w:val="4C212BCD"/>
    <w:rsid w:val="4C30315A"/>
    <w:rsid w:val="4C3C4EE7"/>
    <w:rsid w:val="4C4908B8"/>
    <w:rsid w:val="4C50244B"/>
    <w:rsid w:val="4C8B6671"/>
    <w:rsid w:val="4CC3505D"/>
    <w:rsid w:val="4CDA2C3E"/>
    <w:rsid w:val="4D0403E3"/>
    <w:rsid w:val="4D2E66D8"/>
    <w:rsid w:val="4D322D32"/>
    <w:rsid w:val="4D3F0BB5"/>
    <w:rsid w:val="4D6F73D0"/>
    <w:rsid w:val="4D7D5BBA"/>
    <w:rsid w:val="4D820C35"/>
    <w:rsid w:val="4D9F7219"/>
    <w:rsid w:val="4DA9689E"/>
    <w:rsid w:val="4DB9252E"/>
    <w:rsid w:val="4DBF5B01"/>
    <w:rsid w:val="4E484EFE"/>
    <w:rsid w:val="4E6323B1"/>
    <w:rsid w:val="4E6B3D7C"/>
    <w:rsid w:val="4E893CD0"/>
    <w:rsid w:val="4EA23171"/>
    <w:rsid w:val="4EB26DB5"/>
    <w:rsid w:val="4EC72940"/>
    <w:rsid w:val="4EEC35B0"/>
    <w:rsid w:val="4EFA08C3"/>
    <w:rsid w:val="4FBB4D20"/>
    <w:rsid w:val="4FBE215E"/>
    <w:rsid w:val="4FCA5B93"/>
    <w:rsid w:val="4FD7012C"/>
    <w:rsid w:val="502331E8"/>
    <w:rsid w:val="50630F45"/>
    <w:rsid w:val="507D2EB2"/>
    <w:rsid w:val="50996E08"/>
    <w:rsid w:val="50EE0FAB"/>
    <w:rsid w:val="50F639B0"/>
    <w:rsid w:val="50F84371"/>
    <w:rsid w:val="51136E34"/>
    <w:rsid w:val="51204E37"/>
    <w:rsid w:val="51392AF4"/>
    <w:rsid w:val="513D2420"/>
    <w:rsid w:val="514F1FA1"/>
    <w:rsid w:val="515D39C5"/>
    <w:rsid w:val="51CE211F"/>
    <w:rsid w:val="51D00305"/>
    <w:rsid w:val="51EB1485"/>
    <w:rsid w:val="520A69FE"/>
    <w:rsid w:val="524223A8"/>
    <w:rsid w:val="52620B11"/>
    <w:rsid w:val="526613F4"/>
    <w:rsid w:val="529428F0"/>
    <w:rsid w:val="52AE767E"/>
    <w:rsid w:val="531A4C41"/>
    <w:rsid w:val="53346BFC"/>
    <w:rsid w:val="53C72888"/>
    <w:rsid w:val="53D56D36"/>
    <w:rsid w:val="541D37AB"/>
    <w:rsid w:val="54227B0A"/>
    <w:rsid w:val="542A606D"/>
    <w:rsid w:val="543D0384"/>
    <w:rsid w:val="544B7B6F"/>
    <w:rsid w:val="546F159F"/>
    <w:rsid w:val="547A405F"/>
    <w:rsid w:val="547F3895"/>
    <w:rsid w:val="54916165"/>
    <w:rsid w:val="5493188B"/>
    <w:rsid w:val="54975565"/>
    <w:rsid w:val="54BD4E1F"/>
    <w:rsid w:val="54C209D0"/>
    <w:rsid w:val="54E547A1"/>
    <w:rsid w:val="54EC7DFD"/>
    <w:rsid w:val="54ED0C26"/>
    <w:rsid w:val="552B50CE"/>
    <w:rsid w:val="553C57D6"/>
    <w:rsid w:val="554F0A1B"/>
    <w:rsid w:val="5560589C"/>
    <w:rsid w:val="55723E7C"/>
    <w:rsid w:val="55761583"/>
    <w:rsid w:val="557A2BB2"/>
    <w:rsid w:val="55954B24"/>
    <w:rsid w:val="55B0022C"/>
    <w:rsid w:val="5603083C"/>
    <w:rsid w:val="561F5543"/>
    <w:rsid w:val="562A4151"/>
    <w:rsid w:val="565F78FC"/>
    <w:rsid w:val="5698694D"/>
    <w:rsid w:val="56A37B7F"/>
    <w:rsid w:val="56AA28BB"/>
    <w:rsid w:val="56BE6073"/>
    <w:rsid w:val="56CA4B59"/>
    <w:rsid w:val="571D3B3F"/>
    <w:rsid w:val="572821AA"/>
    <w:rsid w:val="57332081"/>
    <w:rsid w:val="577473DD"/>
    <w:rsid w:val="577B1DD5"/>
    <w:rsid w:val="57992DF5"/>
    <w:rsid w:val="579E5BB2"/>
    <w:rsid w:val="57B00B08"/>
    <w:rsid w:val="57BA192B"/>
    <w:rsid w:val="57C07A89"/>
    <w:rsid w:val="57C41F33"/>
    <w:rsid w:val="57D55AA6"/>
    <w:rsid w:val="57E253C4"/>
    <w:rsid w:val="57F312D4"/>
    <w:rsid w:val="57FC231D"/>
    <w:rsid w:val="58080995"/>
    <w:rsid w:val="582B25E3"/>
    <w:rsid w:val="5840529A"/>
    <w:rsid w:val="58BC0E13"/>
    <w:rsid w:val="58F17F61"/>
    <w:rsid w:val="590804D0"/>
    <w:rsid w:val="59194FEB"/>
    <w:rsid w:val="591B539C"/>
    <w:rsid w:val="59420D98"/>
    <w:rsid w:val="59647392"/>
    <w:rsid w:val="59704854"/>
    <w:rsid w:val="598355B6"/>
    <w:rsid w:val="599F27F7"/>
    <w:rsid w:val="59AA2C49"/>
    <w:rsid w:val="59BF3617"/>
    <w:rsid w:val="59E45F34"/>
    <w:rsid w:val="5A5A27E6"/>
    <w:rsid w:val="5A5D246C"/>
    <w:rsid w:val="5A8C337C"/>
    <w:rsid w:val="5AA619E0"/>
    <w:rsid w:val="5AB37C3B"/>
    <w:rsid w:val="5B085ACA"/>
    <w:rsid w:val="5B0C0ED5"/>
    <w:rsid w:val="5B140702"/>
    <w:rsid w:val="5B194534"/>
    <w:rsid w:val="5B2856BB"/>
    <w:rsid w:val="5B2861CD"/>
    <w:rsid w:val="5B35280F"/>
    <w:rsid w:val="5B557082"/>
    <w:rsid w:val="5B582338"/>
    <w:rsid w:val="5B696792"/>
    <w:rsid w:val="5B8D3083"/>
    <w:rsid w:val="5B922424"/>
    <w:rsid w:val="5B9C4E9D"/>
    <w:rsid w:val="5B9D2475"/>
    <w:rsid w:val="5BAA17D3"/>
    <w:rsid w:val="5BAF482C"/>
    <w:rsid w:val="5BCD1AC1"/>
    <w:rsid w:val="5C2253A1"/>
    <w:rsid w:val="5C2414F8"/>
    <w:rsid w:val="5C3164BE"/>
    <w:rsid w:val="5C655D6F"/>
    <w:rsid w:val="5C6A6E85"/>
    <w:rsid w:val="5C862194"/>
    <w:rsid w:val="5CF333D7"/>
    <w:rsid w:val="5D0E47EE"/>
    <w:rsid w:val="5D2373AA"/>
    <w:rsid w:val="5D3551E8"/>
    <w:rsid w:val="5D490BDF"/>
    <w:rsid w:val="5D4E7DDE"/>
    <w:rsid w:val="5D8D6ABC"/>
    <w:rsid w:val="5DC51BB9"/>
    <w:rsid w:val="5DE549FF"/>
    <w:rsid w:val="5DF030A1"/>
    <w:rsid w:val="5DF733EF"/>
    <w:rsid w:val="5DFF6DEB"/>
    <w:rsid w:val="5E04586E"/>
    <w:rsid w:val="5E0F2217"/>
    <w:rsid w:val="5E41366F"/>
    <w:rsid w:val="5E424C72"/>
    <w:rsid w:val="5E5C6072"/>
    <w:rsid w:val="5E6A6D8C"/>
    <w:rsid w:val="5EB71060"/>
    <w:rsid w:val="5ECA7C68"/>
    <w:rsid w:val="5ED07579"/>
    <w:rsid w:val="5ED778E2"/>
    <w:rsid w:val="5F147A15"/>
    <w:rsid w:val="5F282782"/>
    <w:rsid w:val="5F4E2D01"/>
    <w:rsid w:val="5F65372B"/>
    <w:rsid w:val="5F8331A4"/>
    <w:rsid w:val="5FAC78DC"/>
    <w:rsid w:val="5FDD36DF"/>
    <w:rsid w:val="5FFA434C"/>
    <w:rsid w:val="6014467E"/>
    <w:rsid w:val="602B596C"/>
    <w:rsid w:val="606E0C33"/>
    <w:rsid w:val="607C5191"/>
    <w:rsid w:val="60C4510D"/>
    <w:rsid w:val="60F35DC0"/>
    <w:rsid w:val="60FB485E"/>
    <w:rsid w:val="61055647"/>
    <w:rsid w:val="61124671"/>
    <w:rsid w:val="611561F8"/>
    <w:rsid w:val="615145DD"/>
    <w:rsid w:val="6152244A"/>
    <w:rsid w:val="6173451D"/>
    <w:rsid w:val="617D2176"/>
    <w:rsid w:val="619A6F29"/>
    <w:rsid w:val="61A543FC"/>
    <w:rsid w:val="61B32AC3"/>
    <w:rsid w:val="621C3B55"/>
    <w:rsid w:val="621E76F7"/>
    <w:rsid w:val="623A42B8"/>
    <w:rsid w:val="623D69B9"/>
    <w:rsid w:val="624733D0"/>
    <w:rsid w:val="624E735E"/>
    <w:rsid w:val="6263031D"/>
    <w:rsid w:val="627477CB"/>
    <w:rsid w:val="62A6069B"/>
    <w:rsid w:val="62A86261"/>
    <w:rsid w:val="62BB4100"/>
    <w:rsid w:val="63083D09"/>
    <w:rsid w:val="631A7513"/>
    <w:rsid w:val="6323269A"/>
    <w:rsid w:val="63737FCC"/>
    <w:rsid w:val="63B83F91"/>
    <w:rsid w:val="63E9565C"/>
    <w:rsid w:val="63F56733"/>
    <w:rsid w:val="646B1B68"/>
    <w:rsid w:val="6486317F"/>
    <w:rsid w:val="64882B1E"/>
    <w:rsid w:val="648C4FF2"/>
    <w:rsid w:val="64AD292A"/>
    <w:rsid w:val="64B855F8"/>
    <w:rsid w:val="64C6470C"/>
    <w:rsid w:val="64CC4286"/>
    <w:rsid w:val="64CE07A0"/>
    <w:rsid w:val="656345E5"/>
    <w:rsid w:val="659B647C"/>
    <w:rsid w:val="65FE78EB"/>
    <w:rsid w:val="66307ADD"/>
    <w:rsid w:val="66382576"/>
    <w:rsid w:val="663D733A"/>
    <w:rsid w:val="66522113"/>
    <w:rsid w:val="66A07AEC"/>
    <w:rsid w:val="66A50063"/>
    <w:rsid w:val="66D57997"/>
    <w:rsid w:val="66EC633F"/>
    <w:rsid w:val="66ED5925"/>
    <w:rsid w:val="66F81DD8"/>
    <w:rsid w:val="66FB6B8A"/>
    <w:rsid w:val="67043547"/>
    <w:rsid w:val="672E7835"/>
    <w:rsid w:val="673979C5"/>
    <w:rsid w:val="67436B63"/>
    <w:rsid w:val="67484729"/>
    <w:rsid w:val="6758270D"/>
    <w:rsid w:val="677F61A4"/>
    <w:rsid w:val="678E2418"/>
    <w:rsid w:val="67F44488"/>
    <w:rsid w:val="67F8651C"/>
    <w:rsid w:val="682A41C8"/>
    <w:rsid w:val="682F6015"/>
    <w:rsid w:val="6837707B"/>
    <w:rsid w:val="684C6BE6"/>
    <w:rsid w:val="685628D8"/>
    <w:rsid w:val="68933F5D"/>
    <w:rsid w:val="68A95515"/>
    <w:rsid w:val="68B6260E"/>
    <w:rsid w:val="68E52843"/>
    <w:rsid w:val="68EF549F"/>
    <w:rsid w:val="691608AD"/>
    <w:rsid w:val="69217B6C"/>
    <w:rsid w:val="692A6F0F"/>
    <w:rsid w:val="693047FF"/>
    <w:rsid w:val="693B752A"/>
    <w:rsid w:val="694921C5"/>
    <w:rsid w:val="694E6FF6"/>
    <w:rsid w:val="69610D46"/>
    <w:rsid w:val="6A22508C"/>
    <w:rsid w:val="6A2F2BA4"/>
    <w:rsid w:val="6A341BB6"/>
    <w:rsid w:val="6A392C85"/>
    <w:rsid w:val="6A5F3689"/>
    <w:rsid w:val="6ACA6BB7"/>
    <w:rsid w:val="6ACB2E91"/>
    <w:rsid w:val="6AE35542"/>
    <w:rsid w:val="6B3A4C8B"/>
    <w:rsid w:val="6B601CFA"/>
    <w:rsid w:val="6B66698A"/>
    <w:rsid w:val="6B817ADF"/>
    <w:rsid w:val="6B967808"/>
    <w:rsid w:val="6BA51AD7"/>
    <w:rsid w:val="6BC21845"/>
    <w:rsid w:val="6C072BDF"/>
    <w:rsid w:val="6C266566"/>
    <w:rsid w:val="6C437A1F"/>
    <w:rsid w:val="6C6951E3"/>
    <w:rsid w:val="6C9E76B6"/>
    <w:rsid w:val="6CE12B78"/>
    <w:rsid w:val="6D882603"/>
    <w:rsid w:val="6D9046AA"/>
    <w:rsid w:val="6DB52B5F"/>
    <w:rsid w:val="6DC2632E"/>
    <w:rsid w:val="6E0E0C26"/>
    <w:rsid w:val="6E3A0F28"/>
    <w:rsid w:val="6E581B78"/>
    <w:rsid w:val="6E663690"/>
    <w:rsid w:val="6EC34A20"/>
    <w:rsid w:val="6EC53D8A"/>
    <w:rsid w:val="6EFF31E9"/>
    <w:rsid w:val="6F046845"/>
    <w:rsid w:val="6F16133E"/>
    <w:rsid w:val="6F3D2D08"/>
    <w:rsid w:val="6F43695D"/>
    <w:rsid w:val="6F4477B6"/>
    <w:rsid w:val="6F56338C"/>
    <w:rsid w:val="6F607DD8"/>
    <w:rsid w:val="6F885CC3"/>
    <w:rsid w:val="70131D47"/>
    <w:rsid w:val="701A7273"/>
    <w:rsid w:val="702E2434"/>
    <w:rsid w:val="705C4A04"/>
    <w:rsid w:val="706D3EB6"/>
    <w:rsid w:val="70893B68"/>
    <w:rsid w:val="7098588F"/>
    <w:rsid w:val="70A10279"/>
    <w:rsid w:val="70D2409A"/>
    <w:rsid w:val="710D0056"/>
    <w:rsid w:val="711208BB"/>
    <w:rsid w:val="71227EB2"/>
    <w:rsid w:val="71233FE5"/>
    <w:rsid w:val="71381023"/>
    <w:rsid w:val="714E4039"/>
    <w:rsid w:val="71A64680"/>
    <w:rsid w:val="71AB349A"/>
    <w:rsid w:val="71B758F7"/>
    <w:rsid w:val="71C07455"/>
    <w:rsid w:val="71C7360D"/>
    <w:rsid w:val="71DA57CD"/>
    <w:rsid w:val="72007D93"/>
    <w:rsid w:val="720D137E"/>
    <w:rsid w:val="72431297"/>
    <w:rsid w:val="724A4F24"/>
    <w:rsid w:val="72655E48"/>
    <w:rsid w:val="72826C46"/>
    <w:rsid w:val="729B632F"/>
    <w:rsid w:val="72E2068E"/>
    <w:rsid w:val="72E91D7A"/>
    <w:rsid w:val="72E93469"/>
    <w:rsid w:val="72F43219"/>
    <w:rsid w:val="73065509"/>
    <w:rsid w:val="737B4F0C"/>
    <w:rsid w:val="73A85D88"/>
    <w:rsid w:val="73D03B7C"/>
    <w:rsid w:val="73D501CE"/>
    <w:rsid w:val="740C0F3D"/>
    <w:rsid w:val="74500B66"/>
    <w:rsid w:val="74602A39"/>
    <w:rsid w:val="74621963"/>
    <w:rsid w:val="747D2438"/>
    <w:rsid w:val="74852154"/>
    <w:rsid w:val="748D0571"/>
    <w:rsid w:val="74AF0AA4"/>
    <w:rsid w:val="74C74429"/>
    <w:rsid w:val="74D15A17"/>
    <w:rsid w:val="74D275FF"/>
    <w:rsid w:val="754606AE"/>
    <w:rsid w:val="75545AAA"/>
    <w:rsid w:val="756457B7"/>
    <w:rsid w:val="759A5A8E"/>
    <w:rsid w:val="75AD4460"/>
    <w:rsid w:val="75E949D7"/>
    <w:rsid w:val="75FC678A"/>
    <w:rsid w:val="76106F61"/>
    <w:rsid w:val="761C72F5"/>
    <w:rsid w:val="764B1759"/>
    <w:rsid w:val="766F75C6"/>
    <w:rsid w:val="767329C9"/>
    <w:rsid w:val="768E1AEB"/>
    <w:rsid w:val="768E547C"/>
    <w:rsid w:val="76A56F64"/>
    <w:rsid w:val="76B13FCE"/>
    <w:rsid w:val="76E10ECD"/>
    <w:rsid w:val="76EF505D"/>
    <w:rsid w:val="773B15E8"/>
    <w:rsid w:val="775F1CCE"/>
    <w:rsid w:val="778344E5"/>
    <w:rsid w:val="77900A9A"/>
    <w:rsid w:val="77AB18D7"/>
    <w:rsid w:val="77DD6871"/>
    <w:rsid w:val="77E22FE5"/>
    <w:rsid w:val="77F3495A"/>
    <w:rsid w:val="78206744"/>
    <w:rsid w:val="78355B2C"/>
    <w:rsid w:val="78385D86"/>
    <w:rsid w:val="784375AB"/>
    <w:rsid w:val="78510DC6"/>
    <w:rsid w:val="78B418D7"/>
    <w:rsid w:val="78EB1D01"/>
    <w:rsid w:val="78EC05B2"/>
    <w:rsid w:val="78F72004"/>
    <w:rsid w:val="792678D7"/>
    <w:rsid w:val="79520572"/>
    <w:rsid w:val="79655EF8"/>
    <w:rsid w:val="79703A50"/>
    <w:rsid w:val="7979285B"/>
    <w:rsid w:val="797C5E6B"/>
    <w:rsid w:val="79B9492A"/>
    <w:rsid w:val="79C630D7"/>
    <w:rsid w:val="79FE3FAF"/>
    <w:rsid w:val="7A2436FB"/>
    <w:rsid w:val="7A560A56"/>
    <w:rsid w:val="7A5D329C"/>
    <w:rsid w:val="7A6066D6"/>
    <w:rsid w:val="7A626B5C"/>
    <w:rsid w:val="7A750716"/>
    <w:rsid w:val="7A8312F8"/>
    <w:rsid w:val="7A8705E2"/>
    <w:rsid w:val="7AAD7C8E"/>
    <w:rsid w:val="7AC544B4"/>
    <w:rsid w:val="7AEF4F5C"/>
    <w:rsid w:val="7AFD06B5"/>
    <w:rsid w:val="7B04529A"/>
    <w:rsid w:val="7B1B715F"/>
    <w:rsid w:val="7B1D5AE0"/>
    <w:rsid w:val="7B28528B"/>
    <w:rsid w:val="7B5C1BF7"/>
    <w:rsid w:val="7B6F2355"/>
    <w:rsid w:val="7B7A3A14"/>
    <w:rsid w:val="7B8218A4"/>
    <w:rsid w:val="7B973246"/>
    <w:rsid w:val="7BB27A38"/>
    <w:rsid w:val="7BC43303"/>
    <w:rsid w:val="7BDA0984"/>
    <w:rsid w:val="7BF25F3A"/>
    <w:rsid w:val="7C173A56"/>
    <w:rsid w:val="7C4A7778"/>
    <w:rsid w:val="7C636023"/>
    <w:rsid w:val="7C7F5B60"/>
    <w:rsid w:val="7C8759DA"/>
    <w:rsid w:val="7C8D1066"/>
    <w:rsid w:val="7C8E41ED"/>
    <w:rsid w:val="7CB7581C"/>
    <w:rsid w:val="7CBA3142"/>
    <w:rsid w:val="7CD85E7D"/>
    <w:rsid w:val="7CDD6C7B"/>
    <w:rsid w:val="7D182EFC"/>
    <w:rsid w:val="7D5743B5"/>
    <w:rsid w:val="7D652572"/>
    <w:rsid w:val="7D6649DA"/>
    <w:rsid w:val="7D7217E9"/>
    <w:rsid w:val="7D817E98"/>
    <w:rsid w:val="7D900A20"/>
    <w:rsid w:val="7DAC7021"/>
    <w:rsid w:val="7DE12D58"/>
    <w:rsid w:val="7E026A83"/>
    <w:rsid w:val="7E256A9A"/>
    <w:rsid w:val="7E403137"/>
    <w:rsid w:val="7E5E34BB"/>
    <w:rsid w:val="7E6F77E6"/>
    <w:rsid w:val="7E7E6314"/>
    <w:rsid w:val="7E8568A3"/>
    <w:rsid w:val="7EA5419C"/>
    <w:rsid w:val="7EB50B00"/>
    <w:rsid w:val="7F00149F"/>
    <w:rsid w:val="7F250179"/>
    <w:rsid w:val="7F2E1E51"/>
    <w:rsid w:val="7F51555D"/>
    <w:rsid w:val="7F687334"/>
    <w:rsid w:val="7F9410C6"/>
    <w:rsid w:val="7F9A21CD"/>
    <w:rsid w:val="7FB43029"/>
    <w:rsid w:val="7FD337ED"/>
    <w:rsid w:val="7FD40F4B"/>
    <w:rsid w:val="7FDF2055"/>
    <w:rsid w:val="7FE83145"/>
    <w:rsid w:val="7FFA0AD6"/>
    <w:rsid w:val="7FFB79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8" w:lineRule="exact"/>
      <w:ind w:firstLine="64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3"/>
    <w:next w:val="1"/>
    <w:qFormat/>
    <w:uiPriority w:val="0"/>
    <w:pPr>
      <w:keepNext w:val="0"/>
      <w:keepLines w:val="0"/>
      <w:spacing w:beforeLines="0" w:beforeAutospacing="0" w:afterLines="0" w:afterAutospacing="0" w:line="578" w:lineRule="exact"/>
      <w:ind w:leftChars="0" w:firstLine="0" w:firstLineChars="0"/>
      <w:jc w:val="center"/>
      <w:outlineLvl w:val="0"/>
    </w:pPr>
    <w:rPr>
      <w:rFonts w:ascii="方正小标宋简体" w:hAnsi="方正小标宋简体" w:eastAsia="方正小标宋简体"/>
      <w:kern w:val="44"/>
      <w:sz w:val="44"/>
    </w:rPr>
  </w:style>
  <w:style w:type="paragraph" w:styleId="4">
    <w:name w:val="heading 2"/>
    <w:basedOn w:val="1"/>
    <w:next w:val="1"/>
    <w:link w:val="19"/>
    <w:unhideWhenUsed/>
    <w:qFormat/>
    <w:uiPriority w:val="0"/>
    <w:pPr>
      <w:keepNext w:val="0"/>
      <w:keepLines w:val="0"/>
      <w:numPr>
        <w:ilvl w:val="1"/>
        <w:numId w:val="1"/>
      </w:numPr>
      <w:spacing w:beforeLines="0" w:beforeAutospacing="0" w:afterLines="0" w:afterAutospacing="0" w:line="578" w:lineRule="exact"/>
      <w:ind w:firstLine="640" w:firstLineChars="200"/>
      <w:outlineLvl w:val="1"/>
    </w:pPr>
    <w:rPr>
      <w:rFonts w:ascii="黑体" w:hAnsi="黑体" w:eastAsia="黑体"/>
      <w:szCs w:val="32"/>
    </w:rPr>
  </w:style>
  <w:style w:type="paragraph" w:styleId="5">
    <w:name w:val="heading 3"/>
    <w:basedOn w:val="1"/>
    <w:next w:val="1"/>
    <w:link w:val="20"/>
    <w:unhideWhenUsed/>
    <w:qFormat/>
    <w:uiPriority w:val="0"/>
    <w:pPr>
      <w:keepNext w:val="0"/>
      <w:keepLines w:val="0"/>
      <w:numPr>
        <w:ilvl w:val="2"/>
        <w:numId w:val="1"/>
      </w:numPr>
      <w:spacing w:beforeLines="0" w:beforeAutospacing="0" w:afterLines="0" w:afterAutospacing="0" w:line="578" w:lineRule="exact"/>
      <w:ind w:firstLine="640" w:firstLineChars="200"/>
      <w:outlineLvl w:val="2"/>
    </w:pPr>
    <w:rPr>
      <w:rFonts w:ascii="楷体" w:hAnsi="楷体" w:eastAsia="楷体"/>
      <w:szCs w:val="32"/>
    </w:rPr>
  </w:style>
  <w:style w:type="paragraph" w:styleId="6">
    <w:name w:val="heading 4"/>
    <w:basedOn w:val="1"/>
    <w:next w:val="1"/>
    <w:link w:val="21"/>
    <w:unhideWhenUsed/>
    <w:qFormat/>
    <w:uiPriority w:val="0"/>
    <w:pPr>
      <w:keepNext w:val="0"/>
      <w:keepLines w:val="0"/>
      <w:spacing w:beforeLines="0" w:beforeAutospacing="0" w:afterLines="0" w:afterAutospacing="0" w:line="578" w:lineRule="exact"/>
      <w:outlineLvl w:val="3"/>
    </w:pPr>
    <w:rPr>
      <w:b/>
    </w:rPr>
  </w:style>
  <w:style w:type="paragraph" w:styleId="7">
    <w:name w:val="heading 5"/>
    <w:basedOn w:val="1"/>
    <w:next w:val="1"/>
    <w:link w:val="22"/>
    <w:unhideWhenUsed/>
    <w:qFormat/>
    <w:uiPriority w:val="0"/>
    <w:pPr>
      <w:keepNext w:val="0"/>
      <w:keepLines w:val="0"/>
      <w:numPr>
        <w:ilvl w:val="0"/>
        <w:numId w:val="2"/>
      </w:numPr>
      <w:spacing w:beforeLines="0" w:beforeAutospacing="0" w:afterLines="0" w:afterAutospacing="0" w:line="578" w:lineRule="exact"/>
      <w:outlineLvl w:val="4"/>
    </w:p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6">
    <w:name w:val="Default Paragraph Font"/>
    <w:qFormat/>
    <w:uiPriority w:val="0"/>
  </w:style>
  <w:style w:type="table" w:default="1" w:styleId="14">
    <w:name w:val="Normal Table"/>
    <w:semiHidden/>
    <w:qFormat/>
    <w:uiPriority w:val="0"/>
    <w:tblPr>
      <w:tblStyle w:val="14"/>
      <w:tblCellMar>
        <w:top w:w="0" w:type="dxa"/>
        <w:left w:w="108" w:type="dxa"/>
        <w:bottom w:w="0" w:type="dxa"/>
        <w:right w:w="108" w:type="dxa"/>
      </w:tblCellMar>
    </w:tblPr>
  </w:style>
  <w:style w:type="paragraph" w:styleId="3">
    <w:name w:val="table of figures"/>
    <w:basedOn w:val="1"/>
    <w:next w:val="1"/>
    <w:qFormat/>
    <w:uiPriority w:val="0"/>
    <w:pPr>
      <w:ind w:leftChars="200" w:hanging="200" w:hangingChars="200"/>
    </w:pPr>
  </w:style>
  <w:style w:type="paragraph" w:styleId="9">
    <w:name w:val="annotation text"/>
    <w:basedOn w:val="1"/>
    <w:unhideWhenUsed/>
    <w:qFormat/>
    <w:uiPriority w:val="0"/>
  </w:style>
  <w:style w:type="paragraph" w:styleId="10">
    <w:name w:val="Body Text"/>
    <w:basedOn w:val="1"/>
    <w:qFormat/>
    <w:uiPriority w:val="1"/>
    <w:pPr>
      <w:autoSpaceDE w:val="0"/>
      <w:autoSpaceDN w:val="0"/>
      <w:jc w:val="left"/>
    </w:pPr>
    <w:rPr>
      <w:rFonts w:ascii="宋体" w:hAnsi="宋体" w:eastAsia="宋体" w:cs="宋体"/>
      <w:kern w:val="0"/>
      <w:sz w:val="28"/>
      <w:szCs w:val="28"/>
      <w:lang w:val="zh-CN" w:bidi="zh-CN"/>
    </w:rPr>
  </w:style>
  <w:style w:type="paragraph" w:styleId="11">
    <w:name w:val="Body Text Indent 2"/>
    <w:basedOn w:val="1"/>
    <w:qFormat/>
    <w:uiPriority w:val="0"/>
    <w:pPr>
      <w:spacing w:after="120" w:line="480" w:lineRule="auto"/>
      <w:ind w:left="420" w:leftChars="200"/>
    </w:pPr>
    <w:rPr>
      <w:rFonts w:ascii="宋体"/>
      <w:sz w:val="28"/>
    </w:rPr>
  </w:style>
  <w:style w:type="paragraph" w:styleId="12">
    <w:name w:val="footer"/>
    <w:basedOn w:val="1"/>
    <w:uiPriority w:val="0"/>
    <w:pPr>
      <w:tabs>
        <w:tab w:val="center" w:pos="4153"/>
        <w:tab w:val="right" w:pos="8306"/>
      </w:tabs>
      <w:snapToGrid w:val="0"/>
      <w:jc w:val="left"/>
    </w:pPr>
    <w:rPr>
      <w:sz w:val="18"/>
    </w:rPr>
  </w:style>
  <w:style w:type="paragraph" w:styleId="1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5">
    <w:name w:val="Table Grid"/>
    <w:basedOn w:val="14"/>
    <w:uiPriority w:val="0"/>
    <w:pPr>
      <w:widowControl w:val="0"/>
      <w:jc w:val="both"/>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FollowedHyperlink"/>
    <w:basedOn w:val="16"/>
    <w:uiPriority w:val="0"/>
    <w:rPr>
      <w:color w:val="800080"/>
      <w:u w:val="single"/>
    </w:rPr>
  </w:style>
  <w:style w:type="character" w:styleId="18">
    <w:name w:val="Emphasis"/>
    <w:basedOn w:val="16"/>
    <w:qFormat/>
    <w:uiPriority w:val="0"/>
    <w:rPr>
      <w:i/>
    </w:rPr>
  </w:style>
  <w:style w:type="character" w:customStyle="1" w:styleId="19">
    <w:name w:val="标题 2 Char"/>
    <w:link w:val="4"/>
    <w:uiPriority w:val="0"/>
    <w:rPr>
      <w:rFonts w:ascii="黑体" w:hAnsi="黑体" w:eastAsia="黑体"/>
      <w:szCs w:val="32"/>
    </w:rPr>
  </w:style>
  <w:style w:type="character" w:customStyle="1" w:styleId="20">
    <w:name w:val="标题 3 Char"/>
    <w:link w:val="5"/>
    <w:uiPriority w:val="0"/>
    <w:rPr>
      <w:rFonts w:ascii="楷体" w:hAnsi="楷体" w:eastAsia="楷体"/>
      <w:szCs w:val="32"/>
    </w:rPr>
  </w:style>
  <w:style w:type="character" w:customStyle="1" w:styleId="21">
    <w:name w:val="标题 4 Char"/>
    <w:link w:val="6"/>
    <w:uiPriority w:val="0"/>
    <w:rPr>
      <w:rFonts w:ascii="Times New Roman" w:hAnsi="Times New Roman" w:eastAsia="仿宋_GB2312"/>
      <w:b/>
      <w:sz w:val="32"/>
    </w:rPr>
  </w:style>
  <w:style w:type="character" w:customStyle="1" w:styleId="22">
    <w:name w:val="标题 5 Char"/>
    <w:link w:val="7"/>
    <w:uiPriority w:val="0"/>
    <w:rPr>
      <w:rFonts w:eastAsia="仿宋_GB2312"/>
    </w:rPr>
  </w:style>
  <w:style w:type="paragraph" w:customStyle="1" w:styleId="23">
    <w:name w:val="正文 New New New New New New New New New New New New New New New New New New New"/>
    <w:qFormat/>
    <w:uiPriority w:val="0"/>
    <w:pPr>
      <w:widowControl w:val="0"/>
      <w:spacing w:line="346" w:lineRule="auto"/>
      <w:ind w:left="1" w:firstLine="419"/>
      <w:jc w:val="both"/>
      <w:textAlignment w:val="bottom"/>
    </w:pPr>
    <w:rPr>
      <w:rFonts w:ascii="Times New Roman" w:hAnsi="Times New Roman" w:eastAsia="仿宋_GB2312" w:cs="Times New Roman"/>
      <w:sz w:val="32"/>
      <w:lang w:val="en-US" w:eastAsia="zh-CN" w:bidi="ar-SA"/>
    </w:rPr>
  </w:style>
  <w:style w:type="character" w:customStyle="1" w:styleId="24">
    <w:name w:val="bsharetext"/>
    <w:basedOn w:val="16"/>
    <w:uiPriority w:val="0"/>
  </w:style>
</w:style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ongxq\AppData\Roaming\kingsoft\office6\templates\wps\zh_CN\&#20844;&#25991;&#27169;&#26495;2021&#23450;.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公文模板2021定.wpt</Template>
  <Pages>8</Pages>
  <Words>4010</Words>
  <Characters>4055</Characters>
  <Lines>0</Lines>
  <Paragraphs>0</Paragraphs>
  <TotalTime>10</TotalTime>
  <ScaleCrop>false</ScaleCrop>
  <LinksUpToDate>false</LinksUpToDate>
  <CharactersWithSpaces>4064</CharactersWithSpaces>
  <Application>WPS Office_11.1.0.11403_F1E327BC-269C-435d-A152-05C5408002CA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2021-09-05T13:17:00Z</dcterms:created>
  <dc:creator>向前</dc:creator>
  <cp:lastModifiedBy>小玉</cp:lastModifiedBy>
  <cp:lastPrinted>2022-04-28T03:23:26Z</cp:lastPrinted>
  <dcterms:modified xsi:type="dcterms:W3CDTF">2022-05-20T02:52:17Z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2052-11.1.0.11403</vt:lpwstr>
  </property>
  <property fmtid="{D5CDD505-2E9C-101B-9397-08002B2CF9AE}" pid="3" name="ICV">
    <vt:lpwstr>0E33460891344918974B6F2D09357EF9</vt:lpwstr>
  </property>
</Properties>
</file>