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80" w:lineRule="exact"/>
        <w:ind w:firstLine="0" w:firstLineChars="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附件2</w:t>
      </w:r>
    </w:p>
    <w:p>
      <w:pPr>
        <w:adjustRightInd w:val="0"/>
        <w:snapToGrid w:val="0"/>
        <w:spacing w:line="580" w:lineRule="exact"/>
        <w:ind w:firstLine="0" w:firstLineChars="0"/>
        <w:jc w:val="center"/>
        <w:rPr>
          <w:rFonts w:ascii="方正小标宋简体" w:eastAsia="方正小标宋简体"/>
          <w:sz w:val="44"/>
          <w:szCs w:val="44"/>
        </w:rPr>
      </w:pPr>
    </w:p>
    <w:p>
      <w:pPr>
        <w:adjustRightInd w:val="0"/>
        <w:snapToGrid w:val="0"/>
        <w:spacing w:line="580" w:lineRule="exact"/>
        <w:ind w:firstLine="0" w:firstLineChars="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现场工作指引</w:t>
      </w:r>
    </w:p>
    <w:p>
      <w:pPr>
        <w:adjustRightInd w:val="0"/>
        <w:snapToGrid w:val="0"/>
        <w:spacing w:line="580" w:lineRule="exact"/>
        <w:ind w:firstLine="0" w:firstLineChars="0"/>
        <w:jc w:val="center"/>
      </w:pPr>
    </w:p>
    <w:p>
      <w:pPr>
        <w:adjustRightInd w:val="0"/>
        <w:snapToGrid w:val="0"/>
        <w:spacing w:line="580" w:lineRule="exact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一、网架结构方面</w:t>
      </w:r>
    </w:p>
    <w:p>
      <w:pPr>
        <w:adjustRightInd w:val="0"/>
        <w:snapToGrid w:val="0"/>
        <w:spacing w:line="580" w:lineRule="exact"/>
      </w:pPr>
      <w:r>
        <w:rPr>
          <w:rFonts w:hint="eastAsia"/>
        </w:rPr>
        <w:t>（一）配电网相关标准落实情况。重要配电工程路径选择、变电站及线路设备配置水平等方面依照国家标准落实情况。</w:t>
      </w:r>
    </w:p>
    <w:p>
      <w:pPr>
        <w:adjustRightInd w:val="0"/>
        <w:snapToGrid w:val="0"/>
        <w:spacing w:line="580" w:lineRule="exact"/>
      </w:pPr>
      <w:r>
        <w:rPr>
          <w:rFonts w:hint="eastAsia"/>
        </w:rPr>
        <w:t>（二）配电网防灾减灾差异化规划建设情况。建设标准与抗灾减灾要求的适应性情况。考虑地方社会经济发展阶段和特点，并结合雨雪冰冻气象变化规律，差异化规划配电网，特别是单线单变供电改进情况。</w:t>
      </w:r>
    </w:p>
    <w:p>
      <w:pPr>
        <w:adjustRightInd w:val="0"/>
        <w:snapToGrid w:val="0"/>
        <w:spacing w:line="580" w:lineRule="exact"/>
      </w:pPr>
      <w:r>
        <w:rPr>
          <w:rFonts w:hint="eastAsia"/>
        </w:rPr>
        <w:t>（三）配电网薄弱区段改造情况。</w:t>
      </w:r>
      <w:r>
        <w:t>供电方向单一的县域配电网清单</w:t>
      </w:r>
      <w:r>
        <w:rPr>
          <w:rFonts w:hint="eastAsia"/>
        </w:rPr>
        <w:t>梳理及改造提升情况。优化配电网分支线路配置，缩小故障单元情况，根据薄弱线路、站点动态梳理项目改造清单，及时开展前期工作情况。坚强局部电网建设推进情况。</w:t>
      </w:r>
    </w:p>
    <w:p>
      <w:pPr>
        <w:adjustRightInd w:val="0"/>
        <w:snapToGrid w:val="0"/>
        <w:spacing w:line="580" w:lineRule="exact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二、新型并网主体接入方面</w:t>
      </w:r>
    </w:p>
    <w:p>
      <w:pPr>
        <w:adjustRightInd w:val="0"/>
        <w:snapToGrid w:val="0"/>
        <w:spacing w:line="580" w:lineRule="exact"/>
      </w:pPr>
      <w:r>
        <w:rPr>
          <w:rFonts w:hint="eastAsia"/>
        </w:rPr>
        <w:t>（一）分布式新能源电源、储能电动汽车充电桩等新型并网主体接入对配电网的影响。</w:t>
      </w:r>
    </w:p>
    <w:p>
      <w:pPr>
        <w:adjustRightInd w:val="0"/>
        <w:snapToGrid w:val="0"/>
        <w:spacing w:line="580" w:lineRule="exact"/>
      </w:pPr>
      <w:r>
        <w:rPr>
          <w:rFonts w:hint="eastAsia"/>
        </w:rPr>
        <w:t>（二）配电网对新能源接入承载能力评估情况。</w:t>
      </w:r>
    </w:p>
    <w:p>
      <w:pPr>
        <w:adjustRightInd w:val="0"/>
        <w:snapToGrid w:val="0"/>
        <w:spacing w:line="580" w:lineRule="exact"/>
      </w:pPr>
      <w:r>
        <w:rPr>
          <w:rFonts w:hint="eastAsia"/>
        </w:rPr>
        <w:t>（三）</w:t>
      </w:r>
      <w:r>
        <w:t>新型源荷</w:t>
      </w:r>
      <w:r>
        <w:rPr>
          <w:rFonts w:hint="eastAsia"/>
        </w:rPr>
        <w:t>规模化接入后对配电网协同控制的影响分析。</w:t>
      </w:r>
    </w:p>
    <w:p>
      <w:pPr>
        <w:adjustRightInd w:val="0"/>
        <w:snapToGrid w:val="0"/>
        <w:spacing w:line="580" w:lineRule="exact"/>
      </w:pPr>
      <w:r>
        <w:t>（四）新型并网主体并网安全管理情况。</w:t>
      </w:r>
    </w:p>
    <w:p>
      <w:pPr>
        <w:adjustRightInd w:val="0"/>
        <w:snapToGrid w:val="0"/>
        <w:spacing w:line="580" w:lineRule="exact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三、设备设施安全管理方面</w:t>
      </w:r>
    </w:p>
    <w:p>
      <w:pPr>
        <w:adjustRightInd w:val="0"/>
        <w:snapToGrid w:val="0"/>
        <w:spacing w:line="580" w:lineRule="exact"/>
      </w:pPr>
      <w:r>
        <w:rPr>
          <w:rFonts w:hint="eastAsia"/>
        </w:rPr>
        <w:t>（一）配电网老旧设备升级改造及超期服役情况。</w:t>
      </w:r>
    </w:p>
    <w:p>
      <w:pPr>
        <w:adjustRightInd w:val="0"/>
        <w:snapToGrid w:val="0"/>
        <w:spacing w:line="580" w:lineRule="exact"/>
      </w:pPr>
      <w:r>
        <w:rPr>
          <w:rFonts w:hint="eastAsia"/>
        </w:rPr>
        <w:t>（二）配电设备入网质量管控情况，</w:t>
      </w:r>
      <w:r>
        <w:t>选择具备资质机构检验合格的配电网保护装置与功能情况</w:t>
      </w:r>
      <w:r>
        <w:rPr>
          <w:rFonts w:hint="eastAsia"/>
        </w:rPr>
        <w:t>；配电网项目质量监督工作开展情况。</w:t>
      </w:r>
    </w:p>
    <w:p>
      <w:pPr>
        <w:adjustRightInd w:val="0"/>
        <w:snapToGrid w:val="0"/>
        <w:spacing w:line="580" w:lineRule="exact"/>
      </w:pPr>
      <w:r>
        <w:rPr>
          <w:rFonts w:hint="eastAsia"/>
        </w:rPr>
        <w:t>（三）设备运行状态监测及定期试验执行情况。</w:t>
      </w:r>
    </w:p>
    <w:p>
      <w:pPr>
        <w:adjustRightInd w:val="0"/>
        <w:snapToGrid w:val="0"/>
        <w:spacing w:line="580" w:lineRule="exact"/>
      </w:pPr>
      <w:r>
        <w:rPr>
          <w:rFonts w:hint="eastAsia"/>
        </w:rPr>
        <w:t>（四）配电网自动化管理情况。出台自动化运维管理规定情况；建立配电终端缺陷运维管理机制，问题及时处理情况；配电网实时监控系统和网络安全防护建设情况，网络通信安全和配电网数据传输安全情况。</w:t>
      </w:r>
    </w:p>
    <w:p>
      <w:pPr>
        <w:adjustRightInd w:val="0"/>
        <w:snapToGrid w:val="0"/>
        <w:spacing w:line="580" w:lineRule="exact"/>
      </w:pPr>
      <w:r>
        <w:rPr>
          <w:rFonts w:hint="eastAsia"/>
        </w:rPr>
        <w:t>（五）配电网保护配置及定值管理情况。能反映短路故障和异常运行状态继电保护装置或功能的配置情况，功能设计和配置满足“四性”要求情况，配电网阶段式电流保护按照逐级配合原则整定情况。</w:t>
      </w:r>
    </w:p>
    <w:p>
      <w:pPr>
        <w:adjustRightInd w:val="0"/>
        <w:snapToGrid w:val="0"/>
        <w:spacing w:line="580" w:lineRule="exact"/>
      </w:pPr>
      <w:r>
        <w:rPr>
          <w:rFonts w:hint="eastAsia"/>
        </w:rPr>
        <w:t>（六）二次系统安全专项监管涉及配电网相关问题整改落实情况。</w:t>
      </w:r>
    </w:p>
    <w:p>
      <w:pPr>
        <w:adjustRightInd w:val="0"/>
        <w:snapToGrid w:val="0"/>
        <w:spacing w:line="580" w:lineRule="exact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四、运行维护方面</w:t>
      </w:r>
    </w:p>
    <w:p>
      <w:pPr>
        <w:adjustRightInd w:val="0"/>
        <w:snapToGrid w:val="0"/>
        <w:spacing w:line="580" w:lineRule="exact"/>
      </w:pPr>
      <w:r>
        <w:rPr>
          <w:rFonts w:hint="eastAsia"/>
        </w:rPr>
        <w:t>（一）现行配电网调度运行体制机制与新型配电网系统适配情况。</w:t>
      </w:r>
    </w:p>
    <w:p>
      <w:pPr>
        <w:adjustRightInd w:val="0"/>
        <w:snapToGrid w:val="0"/>
        <w:spacing w:line="580" w:lineRule="exact"/>
      </w:pPr>
      <w:r>
        <w:rPr>
          <w:rFonts w:hint="eastAsia"/>
        </w:rPr>
        <w:t>（二）配电运维人员配置、技能培训、运维工器具配备情况。</w:t>
      </w:r>
    </w:p>
    <w:p>
      <w:pPr>
        <w:adjustRightInd w:val="0"/>
        <w:snapToGrid w:val="0"/>
        <w:spacing w:line="580" w:lineRule="exact"/>
      </w:pPr>
      <w:r>
        <w:rPr>
          <w:rFonts w:hint="eastAsia"/>
        </w:rPr>
        <w:t>（三）配电网停电检修及带电作业管理情况。配电网综合停电编制月度停电检修计划，降低临时停电率及预安排重复停电率情况；停电检修管理考核评价机制建立运行情况；配电网转供电率、合环转供电水平情况；停电计划刚性执行情况；“两票三制”执行及安全措施落实情况。</w:t>
      </w:r>
    </w:p>
    <w:p>
      <w:pPr>
        <w:adjustRightInd w:val="0"/>
        <w:snapToGrid w:val="0"/>
        <w:spacing w:line="580" w:lineRule="exact"/>
      </w:pPr>
      <w:r>
        <w:rPr>
          <w:rFonts w:hint="eastAsia"/>
        </w:rPr>
        <w:t>（四）配电网调度纪律执行情况，各类违反调度纪律事件调查处理以及报备情况。</w:t>
      </w:r>
    </w:p>
    <w:p>
      <w:pPr>
        <w:adjustRightInd w:val="0"/>
        <w:snapToGrid w:val="0"/>
        <w:spacing w:line="580" w:lineRule="exact"/>
      </w:pPr>
      <w:r>
        <w:rPr>
          <w:rFonts w:hint="eastAsia"/>
        </w:rPr>
        <w:t>（五）针对主（配）变重满载、线路重过载、电压越限等问题，针对性解决方案制定情况，相关措施落实情况。</w:t>
      </w:r>
    </w:p>
    <w:p>
      <w:pPr>
        <w:adjustRightInd w:val="0"/>
        <w:snapToGrid w:val="0"/>
        <w:spacing w:line="580" w:lineRule="exact"/>
      </w:pPr>
      <w:r>
        <w:rPr>
          <w:rFonts w:hint="eastAsia"/>
        </w:rPr>
        <w:t>（六）隐患排查治理工作开展情况。外破、树障、鸟害等隐患排查和治理情况，相关治理联动工作机制建立、制定长期通道清理计划情况；设备本体隐患排查和治理情况，细化配网设备缺陷划分标准及管控要求情况，配网设备本体缺陷消缺保障机制建立运行情况；农村配电网“三线搭挂”问题治理情况。</w:t>
      </w:r>
    </w:p>
    <w:p>
      <w:pPr>
        <w:adjustRightInd w:val="0"/>
        <w:snapToGrid w:val="0"/>
        <w:spacing w:line="580" w:lineRule="exact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五、网络安全方面</w:t>
      </w:r>
    </w:p>
    <w:p>
      <w:pPr>
        <w:adjustRightInd w:val="0"/>
        <w:snapToGrid w:val="0"/>
        <w:spacing w:line="580" w:lineRule="exact"/>
      </w:pPr>
      <w:r>
        <w:rPr>
          <w:rFonts w:hint="eastAsia"/>
        </w:rPr>
        <w:t>（一）配电网管理信息系统涉控业务有关情况。</w:t>
      </w:r>
    </w:p>
    <w:p>
      <w:pPr>
        <w:adjustRightInd w:val="0"/>
        <w:snapToGrid w:val="0"/>
        <w:spacing w:line="580" w:lineRule="exact"/>
      </w:pPr>
      <w:r>
        <w:t>（二）</w:t>
      </w:r>
      <w:r>
        <w:rPr>
          <w:rFonts w:hint="eastAsia"/>
        </w:rPr>
        <w:t>配电网自动化改造情况。</w:t>
      </w:r>
    </w:p>
    <w:p>
      <w:pPr>
        <w:adjustRightInd w:val="0"/>
        <w:snapToGrid w:val="0"/>
        <w:spacing w:line="580" w:lineRule="exact"/>
      </w:pPr>
      <w:r>
        <w:rPr>
          <w:rFonts w:hint="eastAsia"/>
        </w:rPr>
        <w:t>（三）负荷控制系统、分布式电源控制系统网络安全防护情况。</w:t>
      </w:r>
    </w:p>
    <w:p>
      <w:pPr>
        <w:adjustRightInd w:val="0"/>
        <w:snapToGrid w:val="0"/>
        <w:spacing w:line="580" w:lineRule="exact"/>
      </w:pPr>
      <w:r>
        <w:rPr>
          <w:rFonts w:hint="eastAsia"/>
        </w:rPr>
        <w:t>（四）配网业务支撑系统建设情况。</w:t>
      </w:r>
    </w:p>
    <w:p>
      <w:pPr>
        <w:adjustRightInd w:val="0"/>
        <w:snapToGrid w:val="0"/>
        <w:spacing w:line="580" w:lineRule="exact"/>
      </w:pPr>
      <w:r>
        <w:rPr>
          <w:rFonts w:hint="eastAsia"/>
        </w:rPr>
        <w:t>（五）配电网主动感知能力建设情况，配电网拓扑图规范管理情况，配网线路可视化管理情况。</w:t>
      </w:r>
    </w:p>
    <w:p>
      <w:pPr>
        <w:adjustRightInd w:val="0"/>
        <w:snapToGrid w:val="0"/>
        <w:spacing w:line="580" w:lineRule="exact"/>
      </w:pPr>
      <w:r>
        <w:rPr>
          <w:rFonts w:hint="eastAsia"/>
        </w:rPr>
        <w:t>（六）配电网数字化技术应用及源网荷储资源高效配置平台推进情况。</w:t>
      </w:r>
    </w:p>
    <w:p>
      <w:pPr>
        <w:adjustRightInd w:val="0"/>
        <w:snapToGrid w:val="0"/>
        <w:spacing w:line="580" w:lineRule="exact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六、应急处置方面</w:t>
      </w:r>
    </w:p>
    <w:p>
      <w:pPr>
        <w:adjustRightInd w:val="0"/>
        <w:snapToGrid w:val="0"/>
        <w:spacing w:line="580" w:lineRule="exact"/>
      </w:pPr>
      <w:r>
        <w:rPr>
          <w:rFonts w:hint="eastAsia"/>
        </w:rPr>
        <w:t>（一）结合地方实际，评估雨雪冰冻、山火、台风、洪涝等灾害场景下应急体系及应急能力建设情况。应急预案编制演练情况，应急物资、队伍及装备配置情况，应急保障电源建设情况。</w:t>
      </w:r>
    </w:p>
    <w:p>
      <w:pPr>
        <w:adjustRightInd w:val="0"/>
        <w:snapToGrid w:val="0"/>
        <w:spacing w:line="580" w:lineRule="exact"/>
      </w:pPr>
      <w:r>
        <w:rPr>
          <w:rFonts w:hint="eastAsia"/>
        </w:rPr>
        <w:t>（二）极端状态下重点地区、重点部位、重要用户的电力供应保障能力建设情况；重点时段电力保供情况，特别是极端天气变化、人员返乡等特殊时段保供电情况。</w:t>
      </w:r>
    </w:p>
    <w:p>
      <w:pPr>
        <w:adjustRightInd w:val="0"/>
        <w:snapToGrid w:val="0"/>
        <w:spacing w:line="580" w:lineRule="exact"/>
      </w:pPr>
      <w:r>
        <w:rPr>
          <w:rFonts w:hint="eastAsia"/>
        </w:rPr>
        <w:t>（三）配电网防灾减灾能力建设情况。防冰防雷等特殊区段台账建立情况；梳理特殊区段存在问题，制定整治计划，消除特殊区段薄弱环节情况；主网故障时负荷转供方案建立情况。</w:t>
      </w:r>
    </w:p>
    <w:p>
      <w:pPr>
        <w:adjustRightInd w:val="0"/>
        <w:snapToGrid w:val="0"/>
        <w:spacing w:line="580" w:lineRule="exact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七、风险管控及其他方面</w:t>
      </w:r>
    </w:p>
    <w:p>
      <w:pPr>
        <w:adjustRightInd w:val="0"/>
        <w:snapToGrid w:val="0"/>
        <w:spacing w:line="580" w:lineRule="exact"/>
      </w:pPr>
      <w:r>
        <w:rPr>
          <w:rFonts w:hint="eastAsia"/>
        </w:rPr>
        <w:t>可能构成</w:t>
      </w:r>
      <w:r>
        <w:t>《电力安全事故应急处置和调查处理条例》</w:t>
      </w:r>
      <w:r>
        <w:rPr>
          <w:rFonts w:hint="eastAsia"/>
        </w:rPr>
        <w:t>（中华人民共和国国务院令第</w:t>
      </w:r>
      <w:r>
        <w:t>599号</w:t>
      </w:r>
      <w:r>
        <w:rPr>
          <w:rFonts w:hint="eastAsia"/>
        </w:rPr>
        <w:t>）中规定的一般及以上电力安全事故的风险；其他对配电网安全可靠供应影响较大的情况。</w:t>
      </w:r>
    </w:p>
    <w:p>
      <w:pPr>
        <w:adjustRightInd w:val="0"/>
        <w:snapToGrid w:val="0"/>
        <w:spacing w:line="580" w:lineRule="exact"/>
      </w:pPr>
    </w:p>
    <w:p>
      <w:pPr>
        <w:adjustRightInd w:val="0"/>
        <w:snapToGrid w:val="0"/>
        <w:spacing w:line="580" w:lineRule="exact"/>
      </w:pPr>
    </w:p>
    <w:p>
      <w:pPr>
        <w:adjustRightInd w:val="0"/>
        <w:snapToGrid w:val="0"/>
        <w:spacing w:line="580" w:lineRule="exact"/>
      </w:pPr>
    </w:p>
    <w:p>
      <w:pPr>
        <w:adjustRightInd w:val="0"/>
        <w:snapToGrid w:val="0"/>
        <w:spacing w:line="580" w:lineRule="exact"/>
      </w:pPr>
    </w:p>
    <w:p>
      <w:pPr>
        <w:adjustRightInd w:val="0"/>
        <w:snapToGrid w:val="0"/>
        <w:spacing w:line="580" w:lineRule="exact"/>
        <w:ind w:left="0" w:leftChars="0" w:firstLine="0" w:firstLineChars="0"/>
      </w:pPr>
      <w:bookmarkStart w:id="0" w:name="_GoBack"/>
      <w:bookmarkEnd w:id="0"/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2098" w:right="1474" w:bottom="1984" w:left="1588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altName w:val="黑体"/>
    <w:panose1 w:val="00000600000000000000"/>
    <w:charset w:val="86"/>
    <w:family w:val="auto"/>
    <w:pitch w:val="default"/>
    <w:sig w:usb0="00000000" w:usb1="00000000" w:usb2="00000012" w:usb3="00000000" w:csb0="0016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ind w:firstLine="360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ind w:firstLine="360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czZTkxZTRkZWI5Y2ZmMThmOTNkOWUxN2JhMTlkYWIifQ=="/>
  </w:docVars>
  <w:rsids>
    <w:rsidRoot w:val="00EB30F1"/>
    <w:rsid w:val="000739AD"/>
    <w:rsid w:val="001337DF"/>
    <w:rsid w:val="001E5FC6"/>
    <w:rsid w:val="00200A87"/>
    <w:rsid w:val="002155E1"/>
    <w:rsid w:val="00271E37"/>
    <w:rsid w:val="002B105D"/>
    <w:rsid w:val="002B5897"/>
    <w:rsid w:val="002D1ECE"/>
    <w:rsid w:val="00301E79"/>
    <w:rsid w:val="00316C83"/>
    <w:rsid w:val="0041196F"/>
    <w:rsid w:val="004469DD"/>
    <w:rsid w:val="004B1D66"/>
    <w:rsid w:val="00515D97"/>
    <w:rsid w:val="00533777"/>
    <w:rsid w:val="00534DCD"/>
    <w:rsid w:val="00582AB1"/>
    <w:rsid w:val="005F32EA"/>
    <w:rsid w:val="005F5480"/>
    <w:rsid w:val="006577FF"/>
    <w:rsid w:val="006F607E"/>
    <w:rsid w:val="00734990"/>
    <w:rsid w:val="007C143B"/>
    <w:rsid w:val="0081645C"/>
    <w:rsid w:val="0085158D"/>
    <w:rsid w:val="0088302E"/>
    <w:rsid w:val="00893E36"/>
    <w:rsid w:val="00952D92"/>
    <w:rsid w:val="00984520"/>
    <w:rsid w:val="009A2375"/>
    <w:rsid w:val="009E0962"/>
    <w:rsid w:val="009F7304"/>
    <w:rsid w:val="00A00A14"/>
    <w:rsid w:val="00A5036D"/>
    <w:rsid w:val="00A53269"/>
    <w:rsid w:val="00A55DA0"/>
    <w:rsid w:val="00AB5AD2"/>
    <w:rsid w:val="00B03645"/>
    <w:rsid w:val="00B7685E"/>
    <w:rsid w:val="00C07784"/>
    <w:rsid w:val="00C53AD8"/>
    <w:rsid w:val="00CE69F0"/>
    <w:rsid w:val="00D06309"/>
    <w:rsid w:val="00D9081E"/>
    <w:rsid w:val="00DF08F9"/>
    <w:rsid w:val="00E73ED4"/>
    <w:rsid w:val="00E93A31"/>
    <w:rsid w:val="00EB30F1"/>
    <w:rsid w:val="00EC5A50"/>
    <w:rsid w:val="00F818A2"/>
    <w:rsid w:val="00FA5710"/>
    <w:rsid w:val="00FC647A"/>
    <w:rsid w:val="00FE5562"/>
    <w:rsid w:val="011F2890"/>
    <w:rsid w:val="021100A2"/>
    <w:rsid w:val="02E80AFB"/>
    <w:rsid w:val="033B4947"/>
    <w:rsid w:val="03F8034B"/>
    <w:rsid w:val="043015F7"/>
    <w:rsid w:val="066C1A43"/>
    <w:rsid w:val="089D4A83"/>
    <w:rsid w:val="09A95096"/>
    <w:rsid w:val="09AB0C26"/>
    <w:rsid w:val="09BF278A"/>
    <w:rsid w:val="0A2570E3"/>
    <w:rsid w:val="0B930E91"/>
    <w:rsid w:val="0BB03AF5"/>
    <w:rsid w:val="0BD657C3"/>
    <w:rsid w:val="1223632B"/>
    <w:rsid w:val="131E0912"/>
    <w:rsid w:val="181A7E5D"/>
    <w:rsid w:val="19642DC0"/>
    <w:rsid w:val="1C4714CF"/>
    <w:rsid w:val="1D0A6678"/>
    <w:rsid w:val="1D1D366C"/>
    <w:rsid w:val="1EE07337"/>
    <w:rsid w:val="1EFFC0B1"/>
    <w:rsid w:val="1F7F903D"/>
    <w:rsid w:val="1FBE6E4D"/>
    <w:rsid w:val="215522BF"/>
    <w:rsid w:val="24DB2F79"/>
    <w:rsid w:val="24EE4C87"/>
    <w:rsid w:val="251461D1"/>
    <w:rsid w:val="252F0B81"/>
    <w:rsid w:val="26702394"/>
    <w:rsid w:val="26E3376C"/>
    <w:rsid w:val="27247F28"/>
    <w:rsid w:val="27BD27F6"/>
    <w:rsid w:val="28E47356"/>
    <w:rsid w:val="2A1262DA"/>
    <w:rsid w:val="2BB52335"/>
    <w:rsid w:val="2C506C46"/>
    <w:rsid w:val="2DFE0117"/>
    <w:rsid w:val="2ECA7635"/>
    <w:rsid w:val="2EDC471E"/>
    <w:rsid w:val="2F841649"/>
    <w:rsid w:val="33AD59F2"/>
    <w:rsid w:val="33E04D53"/>
    <w:rsid w:val="35FF6626"/>
    <w:rsid w:val="38DE5291"/>
    <w:rsid w:val="3A141A1A"/>
    <w:rsid w:val="3A8A5488"/>
    <w:rsid w:val="3BA7637F"/>
    <w:rsid w:val="3BD056AD"/>
    <w:rsid w:val="3D661848"/>
    <w:rsid w:val="3EF54DE7"/>
    <w:rsid w:val="3FF064D1"/>
    <w:rsid w:val="421E5A2D"/>
    <w:rsid w:val="421F4213"/>
    <w:rsid w:val="47C22C96"/>
    <w:rsid w:val="47E466D6"/>
    <w:rsid w:val="49E54A1A"/>
    <w:rsid w:val="4D640DA2"/>
    <w:rsid w:val="507C56FE"/>
    <w:rsid w:val="526DE9D5"/>
    <w:rsid w:val="555B7071"/>
    <w:rsid w:val="568550E1"/>
    <w:rsid w:val="577F5BCC"/>
    <w:rsid w:val="586B6A32"/>
    <w:rsid w:val="58E3718F"/>
    <w:rsid w:val="59995821"/>
    <w:rsid w:val="59CB737B"/>
    <w:rsid w:val="5A845B89"/>
    <w:rsid w:val="63E632D3"/>
    <w:rsid w:val="695404BF"/>
    <w:rsid w:val="6BA04BD6"/>
    <w:rsid w:val="6D0B4CA1"/>
    <w:rsid w:val="6D6F3027"/>
    <w:rsid w:val="6ED71016"/>
    <w:rsid w:val="6F5A4F5D"/>
    <w:rsid w:val="6FFF0BA8"/>
    <w:rsid w:val="70974410"/>
    <w:rsid w:val="70A266F9"/>
    <w:rsid w:val="70C847A4"/>
    <w:rsid w:val="712A3E4B"/>
    <w:rsid w:val="723F4D5F"/>
    <w:rsid w:val="725F2F86"/>
    <w:rsid w:val="7559393C"/>
    <w:rsid w:val="773B393E"/>
    <w:rsid w:val="77D4375C"/>
    <w:rsid w:val="77FD5EA7"/>
    <w:rsid w:val="79DE9E61"/>
    <w:rsid w:val="7AE954DA"/>
    <w:rsid w:val="7BFB9E32"/>
    <w:rsid w:val="7C51043C"/>
    <w:rsid w:val="7CAB3793"/>
    <w:rsid w:val="7CF2EDAB"/>
    <w:rsid w:val="7E9674D9"/>
    <w:rsid w:val="7EB76E27"/>
    <w:rsid w:val="7FBF0AC5"/>
    <w:rsid w:val="7FE836B5"/>
    <w:rsid w:val="96FE84E6"/>
    <w:rsid w:val="ADD7F7A4"/>
    <w:rsid w:val="AEDAC64E"/>
    <w:rsid w:val="AFFF3089"/>
    <w:rsid w:val="B6ED77BC"/>
    <w:rsid w:val="BAB75374"/>
    <w:rsid w:val="BDDF31D9"/>
    <w:rsid w:val="BDF6DEEB"/>
    <w:rsid w:val="BFFBC770"/>
    <w:rsid w:val="C327F7EA"/>
    <w:rsid w:val="DBFE9491"/>
    <w:rsid w:val="DDCFD9BE"/>
    <w:rsid w:val="DF7FB8D7"/>
    <w:rsid w:val="E78BB128"/>
    <w:rsid w:val="E9FE9779"/>
    <w:rsid w:val="EDEE4C7B"/>
    <w:rsid w:val="EEEE686D"/>
    <w:rsid w:val="EFBFDE65"/>
    <w:rsid w:val="F3EB915E"/>
    <w:rsid w:val="F5F5356C"/>
    <w:rsid w:val="F5FC8BF7"/>
    <w:rsid w:val="F675A95B"/>
    <w:rsid w:val="F6EED0FA"/>
    <w:rsid w:val="F7ABD87F"/>
    <w:rsid w:val="F9FFF41C"/>
    <w:rsid w:val="FB330BBC"/>
    <w:rsid w:val="FB897994"/>
    <w:rsid w:val="FBDE47FC"/>
    <w:rsid w:val="FD4F8088"/>
    <w:rsid w:val="FDEFB348"/>
    <w:rsid w:val="FE72E26F"/>
    <w:rsid w:val="FEF7A494"/>
    <w:rsid w:val="FF2F1978"/>
    <w:rsid w:val="FF5FB6EF"/>
    <w:rsid w:val="FF740635"/>
    <w:rsid w:val="FFFF1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640" w:firstLineChars="200"/>
      <w:jc w:val="both"/>
    </w:pPr>
    <w:rPr>
      <w:rFonts w:ascii="仿宋_GB2312" w:hAnsi="仿宋" w:eastAsia="仿宋_GB2312" w:cs="仿宋"/>
      <w:kern w:val="2"/>
      <w:sz w:val="32"/>
      <w:szCs w:val="3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Autospacing="1" w:afterAutospacing="1"/>
      <w:jc w:val="left"/>
      <w:outlineLvl w:val="3"/>
    </w:pPr>
    <w:rPr>
      <w:rFonts w:hint="eastAsia" w:ascii="宋体" w:hAnsi="宋体" w:eastAsia="宋体" w:cs="Times New Roman"/>
      <w:b/>
      <w:bCs/>
      <w:kern w:val="0"/>
      <w:sz w:val="24"/>
      <w:szCs w:val="24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420"/>
    </w:pPr>
  </w:style>
  <w:style w:type="paragraph" w:styleId="5">
    <w:name w:val="Balloon Text"/>
    <w:basedOn w:val="1"/>
    <w:link w:val="14"/>
    <w:uiPriority w:val="0"/>
    <w:pPr>
      <w:spacing w:line="240" w:lineRule="auto"/>
    </w:pPr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1">
    <w:name w:val="Strong"/>
    <w:basedOn w:val="10"/>
    <w:autoRedefine/>
    <w:qFormat/>
    <w:uiPriority w:val="0"/>
    <w:rPr>
      <w:b/>
    </w:rPr>
  </w:style>
  <w:style w:type="character" w:styleId="12">
    <w:name w:val="Emphasis"/>
    <w:basedOn w:val="10"/>
    <w:autoRedefine/>
    <w:qFormat/>
    <w:uiPriority w:val="0"/>
    <w:rPr>
      <w:i/>
    </w:rPr>
  </w:style>
  <w:style w:type="paragraph" w:styleId="13">
    <w:name w:val="List Paragraph"/>
    <w:basedOn w:val="1"/>
    <w:autoRedefine/>
    <w:qFormat/>
    <w:uiPriority w:val="34"/>
    <w:pPr>
      <w:ind w:firstLine="420"/>
    </w:pPr>
  </w:style>
  <w:style w:type="character" w:customStyle="1" w:styleId="14">
    <w:name w:val="批注框文本 Char"/>
    <w:basedOn w:val="10"/>
    <w:link w:val="5"/>
    <w:autoRedefine/>
    <w:qFormat/>
    <w:uiPriority w:val="0"/>
    <w:rPr>
      <w:rFonts w:ascii="仿宋_GB2312" w:hAnsi="仿宋" w:eastAsia="仿宋_GB2312" w:cs="仿宋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11</Pages>
  <Words>660</Words>
  <Characters>3767</Characters>
  <Lines>31</Lines>
  <Paragraphs>8</Paragraphs>
  <TotalTime>30</TotalTime>
  <ScaleCrop>false</ScaleCrop>
  <LinksUpToDate>false</LinksUpToDate>
  <CharactersWithSpaces>4419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2024-03-18T00:57:00Z</dcterms:created>
  <dc:creator>49659</dc:creator>
  <cp:lastModifiedBy>小笨</cp:lastModifiedBy>
  <cp:lastPrinted>2024-03-18T01:07:00Z</cp:lastPrinted>
  <dcterms:modified xsi:type="dcterms:W3CDTF">2024-03-21T02:11:35Z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413D23BCEB984F41BC310B19A531D53F_13</vt:lpwstr>
  </property>
</Properties>
</file>