
<file path=[Content_Types].xml><?xml version="1.0" encoding="utf-8"?>
<Types xmlns="http://schemas.openxmlformats.org/package/2006/content-types">
  <Default Extension="xml" ContentType="application/xml"/>
  <Default Extension="wmf" ContentType="image/x-wmf"/>
  <Default Extension="png" ContentType="image/png"/>
  <Default Extension="jpeg" ContentType="image/jpeg"/>
  <Default Extension="rels" ContentType="application/vnd.openxmlformats-package.relationships+xml"/>
  <Default Extension="bin" ContentType="application/vnd.openxmlformats-officedocument.oleObject"/>
  <Override PartName="/docProps/app.xml" ContentType="application/vnd.openxmlformats-officedocument.extended-properties+xml"/>
  <Override PartName="/word/footer1.xml" ContentType="application/vnd.openxmlformats-officedocument.wordprocessingml.footer+xml"/>
  <Override PartName="/word/footnotes.xml" ContentType="application/vnd.openxmlformats-officedocument.wordprocessingml.footnotes+xml"/>
  <Override PartName="/docProps/core.xml" ContentType="application/vnd.openxmlformats-package.core-properties+xml"/>
  <Override PartName="/word/fontTable.xml" ContentType="application/vnd.openxmlformats-officedocument.wordprocessingml.fontTable+xml"/>
  <Override PartName="/word/theme/theme1.xml" ContentType="application/vnd.openxmlformats-officedocument.theme+xml"/>
  <Override PartName="/word/webSettings.xml" ContentType="application/vnd.openxmlformats-officedocument.wordprocessingml.webSettings+xml"/>
  <Override PartName="/word/endnotes.xml" ContentType="application/vnd.openxmlformats-officedocument.wordprocessingml.endnotes+xml"/>
  <Override PartName="/word/settings.xml" ContentType="application/vnd.openxmlformats-officedocument.wordprocessingml.settings+xml"/>
  <Override PartName="/word/styles.xml" ContentType="application/vnd.openxmlformats-officedocument.wordprocessingml.styles+xml"/>
  <Override PartName="/word/document.xml" ContentType="application/vnd.openxmlformats-officedocument.wordprocessingml.document.main+xml"/>
</Types>
</file>

<file path=_rels/.rels><?xml version="1.0" encoding="UTF-8" standalone="yes"?>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a="http://schemas.openxmlformats.org/drawingml/2006/main" xmlns:wne="http://schemas.microsoft.com/office/word/2006/wordml" xmlns:wps="http://schemas.microsoft.com/office/word/2010/wordprocessingShape" mc:Ignorable="w14 w15 wp14">
  <w:body>
    <w:p>
      <w:pPr>
        <w:pStyle w:val="633"/>
        <w:pBdr/>
        <w:spacing w:line="620" w:lineRule="exact"/>
        <w:ind/>
        <w:jc w:val="both"/>
        <w:outlineLvl w:val="0"/>
        <w:rPr>
          <w:rFonts w:hint="eastAsia" w:ascii="黑体" w:hAnsi="黑体" w:eastAsia="黑体" w:cs="黑体"/>
          <w:b w:val="0"/>
          <w:bCs/>
          <w:sz w:val="32"/>
          <w:szCs w:val="32"/>
          <w:lang w:val="en-US" w:eastAsia="zh-CN"/>
        </w:rPr>
      </w:pPr>
      <w:r>
        <w:rPr>
          <w:rFonts w:hint="eastAsia" w:ascii="黑体" w:hAnsi="黑体" w:eastAsia="黑体" w:cs="黑体"/>
          <w:b w:val="0"/>
          <w:bCs/>
          <w:sz w:val="32"/>
          <w:szCs w:val="32"/>
          <w:lang w:val="en-US" w:eastAsia="zh-CN"/>
        </w:rPr>
        <w:t xml:space="preserve">附件1</w:t>
      </w:r>
      <w:r>
        <w:rPr>
          <w:rFonts w:hint="eastAsia" w:ascii="黑体" w:hAnsi="黑体" w:eastAsia="黑体" w:cs="黑体"/>
          <w:b w:val="0"/>
          <w:bCs/>
          <w:sz w:val="32"/>
          <w:szCs w:val="32"/>
          <w:lang w:val="en-US" w:eastAsia="zh-CN"/>
        </w:rPr>
      </w:r>
      <w:r>
        <w:rPr>
          <w:rFonts w:hint="eastAsia" w:ascii="黑体" w:hAnsi="黑体" w:eastAsia="黑体" w:cs="黑体"/>
          <w:b w:val="0"/>
          <w:bCs/>
          <w:sz w:val="32"/>
          <w:szCs w:val="32"/>
          <w:lang w:val="en-US" w:eastAsia="zh-CN"/>
        </w:rPr>
      </w:r>
    </w:p>
    <w:p>
      <w:pPr>
        <w:pStyle w:val="633"/>
        <w:pBdr/>
        <w:spacing w:line="620" w:lineRule="exact"/>
        <w:ind/>
        <w:jc w:val="center"/>
        <w:outlineLvl w:val="0"/>
        <w:rPr>
          <w:rFonts w:hint="eastAsia" w:ascii="宋体" w:hAnsi="宋体"/>
          <w:b/>
          <w:sz w:val="44"/>
          <w:szCs w:val="44"/>
        </w:rPr>
      </w:pPr>
      <w:r>
        <w:rPr>
          <w:rFonts w:hint="eastAsia" w:ascii="宋体" w:hAnsi="宋体"/>
          <w:b/>
          <w:sz w:val="44"/>
          <w:szCs w:val="44"/>
        </w:rPr>
      </w:r>
      <w:r>
        <w:rPr>
          <w:rFonts w:hint="eastAsia" w:ascii="宋体" w:hAnsi="宋体"/>
          <w:b/>
          <w:sz w:val="44"/>
          <w:szCs w:val="44"/>
        </w:rPr>
      </w:r>
    </w:p>
    <w:p>
      <w:pPr>
        <w:pStyle w:val="633"/>
        <w:pBdr/>
        <w:spacing w:line="620" w:lineRule="exact"/>
        <w:ind/>
        <w:jc w:val="center"/>
        <w:outlineLvl w:val="0"/>
        <w:rPr>
          <w:rFonts w:hint="eastAsia" w:ascii="宋体" w:hAnsi="宋体"/>
          <w:b/>
          <w:sz w:val="44"/>
          <w:szCs w:val="44"/>
        </w:rPr>
      </w:pPr>
      <w:r>
        <w:rPr>
          <w:rFonts w:hint="eastAsia" w:ascii="宋体" w:hAnsi="宋体"/>
          <w:b/>
          <w:sz w:val="44"/>
          <w:szCs w:val="44"/>
        </w:rPr>
      </w:r>
      <w:r>
        <w:rPr>
          <w:rFonts w:hint="eastAsia" w:ascii="宋体" w:hAnsi="宋体"/>
          <w:b/>
          <w:sz w:val="44"/>
          <w:szCs w:val="44"/>
        </w:rPr>
      </w:r>
    </w:p>
    <w:p>
      <w:pPr>
        <w:pStyle w:val="633"/>
        <w:pBdr/>
        <w:spacing w:line="360" w:lineRule="auto"/>
        <w:ind/>
        <w:jc w:val="center"/>
        <w:outlineLvl w:val="0"/>
        <w:rPr>
          <w:rFonts w:ascii="宋体" w:hAnsi="宋体"/>
          <w:b/>
          <w:sz w:val="44"/>
          <w:szCs w:val="44"/>
        </w:rPr>
      </w:pPr>
      <w:r>
        <w:rPr>
          <w:rFonts w:hint="eastAsia" w:ascii="宋体" w:hAnsi="宋体"/>
          <w:b/>
          <w:sz w:val="44"/>
          <w:szCs w:val="44"/>
        </w:rPr>
        <w:t xml:space="preserve">电力安全生产行动计划（</w:t>
      </w:r>
      <w:r>
        <w:rPr>
          <w:rFonts w:ascii="宋体" w:hAnsi="宋体"/>
          <w:b/>
          <w:sz w:val="44"/>
          <w:szCs w:val="44"/>
        </w:rPr>
        <w:t xml:space="preserve">2018-2020</w:t>
      </w:r>
      <w:r>
        <w:rPr>
          <w:rFonts w:hint="eastAsia" w:ascii="宋体" w:hAnsi="宋体"/>
          <w:b/>
          <w:sz w:val="44"/>
          <w:szCs w:val="44"/>
        </w:rPr>
        <w:t xml:space="preserve">年）</w:t>
      </w:r>
      <w:r>
        <w:rPr>
          <w:rFonts w:ascii="宋体" w:hAnsi="宋体"/>
          <w:b/>
          <w:sz w:val="44"/>
          <w:szCs w:val="44"/>
        </w:rPr>
      </w:r>
      <w:r>
        <w:rPr>
          <w:rFonts w:ascii="宋体" w:hAnsi="宋体"/>
          <w:b/>
          <w:sz w:val="44"/>
          <w:szCs w:val="44"/>
        </w:rPr>
      </w:r>
    </w:p>
    <w:p>
      <w:pPr>
        <w:pStyle w:val="633"/>
        <w:pBdr/>
        <w:spacing w:line="360" w:lineRule="auto"/>
        <w:ind/>
        <w:jc w:val="center"/>
        <w:rPr>
          <w:rFonts w:ascii="楷体_GB2312" w:hAnsi="宋体" w:eastAsia="楷体_GB2312"/>
          <w:b/>
          <w:sz w:val="32"/>
          <w:szCs w:val="32"/>
        </w:rPr>
      </w:pPr>
      <w:r>
        <w:rPr>
          <w:rFonts w:hint="eastAsia" w:ascii="楷体_GB2312" w:hAnsi="宋体" w:eastAsia="楷体_GB2312"/>
          <w:b/>
          <w:sz w:val="32"/>
          <w:szCs w:val="32"/>
        </w:rPr>
        <w:t xml:space="preserve">（征求意见稿）</w:t>
      </w:r>
      <w:r>
        <w:rPr>
          <w:rFonts w:ascii="楷体_GB2312" w:hAnsi="宋体" w:eastAsia="楷体_GB2312"/>
          <w:b/>
          <w:sz w:val="32"/>
          <w:szCs w:val="32"/>
        </w:rPr>
      </w:r>
      <w:r>
        <w:rPr>
          <w:rFonts w:ascii="楷体_GB2312" w:hAnsi="宋体" w:eastAsia="楷体_GB2312"/>
          <w:b/>
          <w:sz w:val="32"/>
          <w:szCs w:val="32"/>
        </w:rPr>
      </w:r>
    </w:p>
    <w:p>
      <w:pPr>
        <w:pStyle w:val="633"/>
        <w:pBdr/>
        <w:spacing w:line="580" w:lineRule="exact"/>
        <w:ind w:firstLine="640"/>
        <w:rPr>
          <w:rFonts w:ascii="仿宋_GB2312" w:hAnsi="仿宋" w:eastAsia="仿宋_GB2312"/>
          <w:sz w:val="32"/>
          <w:szCs w:val="32"/>
        </w:rPr>
      </w:pPr>
      <w:r>
        <w:rPr>
          <w:rFonts w:ascii="仿宋_GB2312" w:hAnsi="仿宋" w:eastAsia="仿宋_GB2312"/>
          <w:sz w:val="32"/>
          <w:szCs w:val="32"/>
        </w:rPr>
      </w:r>
      <w:r>
        <w:rPr>
          <w:rFonts w:ascii="仿宋_GB2312" w:hAnsi="仿宋" w:eastAsia="仿宋_GB2312"/>
          <w:sz w:val="32"/>
          <w:szCs w:val="32"/>
        </w:rPr>
      </w:r>
    </w:p>
    <w:p>
      <w:pPr>
        <w:pStyle w:val="633"/>
        <w:pBdr/>
        <w:spacing w:line="560" w:lineRule="exact"/>
        <w:ind w:firstLine="640"/>
        <w:rPr>
          <w:rFonts w:ascii="仿宋_GB2312" w:hAnsi="仿宋" w:eastAsia="仿宋_GB2312"/>
          <w:sz w:val="32"/>
          <w:szCs w:val="32"/>
        </w:rPr>
      </w:pPr>
      <w:r>
        <w:rPr>
          <w:rFonts w:hint="eastAsia" w:ascii="仿宋_GB2312" w:hAnsi="仿宋" w:eastAsia="仿宋_GB2312"/>
          <w:sz w:val="32"/>
          <w:szCs w:val="32"/>
        </w:rPr>
        <w:t xml:space="preserve">为贯彻落实党中央、国务院关于加强安全生产工作的决策部署，不断提升全国电力安全生产水平，保障电力系统安全稳定运行和电力可靠供应，依据《</w:t>
      </w:r>
      <w:bookmarkStart w:id="0" w:name="_Hlk493755409"/>
      <w:r>
        <w:rPr>
          <w:rFonts w:hint="eastAsia" w:ascii="仿宋_GB2312" w:hAnsi="仿宋" w:eastAsia="仿宋_GB2312"/>
          <w:sz w:val="32"/>
          <w:szCs w:val="32"/>
        </w:rPr>
        <w:t xml:space="preserve">中华人民共和国</w:t>
      </w:r>
      <w:bookmarkEnd w:id="0"/>
      <w:r>
        <w:rPr>
          <w:rFonts w:hint="eastAsia" w:ascii="仿宋_GB2312" w:hAnsi="仿宋" w:eastAsia="仿宋_GB2312"/>
          <w:sz w:val="32"/>
          <w:szCs w:val="32"/>
        </w:rPr>
        <w:t xml:space="preserve">安全生产法》《中华人民共和国电力法》等法律法规，以及《中共中央 国务院关于推进安全生产领域改革发展的意见》《安全生产“十三五”规划》等文件，制定本行动计划。</w:t>
      </w:r>
      <w:r>
        <w:rPr>
          <w:rFonts w:ascii="仿宋_GB2312" w:hAnsi="仿宋" w:eastAsia="仿宋_GB2312"/>
          <w:sz w:val="32"/>
          <w:szCs w:val="32"/>
        </w:rPr>
      </w:r>
      <w:r>
        <w:rPr>
          <w:rFonts w:ascii="仿宋_GB2312" w:hAnsi="仿宋" w:eastAsia="仿宋_GB2312"/>
          <w:sz w:val="32"/>
          <w:szCs w:val="32"/>
        </w:rPr>
      </w:r>
    </w:p>
    <w:p>
      <w:pPr>
        <w:pStyle w:val="633"/>
        <w:pBdr/>
        <w:spacing w:line="560" w:lineRule="exact"/>
        <w:ind w:firstLine="643"/>
        <w:outlineLvl w:val="0"/>
        <w:rPr>
          <w:rFonts w:hint="eastAsia" w:ascii="黑体" w:hAnsi="黑体" w:eastAsia="黑体"/>
          <w:b/>
          <w:bCs/>
          <w:sz w:val="32"/>
          <w:szCs w:val="32"/>
        </w:rPr>
      </w:pPr>
      <w:r>
        <w:rPr>
          <w:rFonts w:hint="eastAsia" w:ascii="黑体" w:hAnsi="黑体" w:eastAsia="黑体"/>
          <w:b/>
          <w:bCs/>
          <w:sz w:val="32"/>
          <w:szCs w:val="32"/>
        </w:rPr>
        <w:t xml:space="preserve">一、面临形势</w:t>
      </w:r>
      <w:r>
        <w:rPr>
          <w:rFonts w:hint="eastAsia" w:ascii="黑体" w:hAnsi="黑体" w:eastAsia="黑体"/>
          <w:b/>
          <w:bCs/>
          <w:sz w:val="32"/>
          <w:szCs w:val="32"/>
        </w:rPr>
      </w:r>
      <w:r>
        <w:rPr>
          <w:rFonts w:hint="eastAsia" w:ascii="黑体" w:hAnsi="黑体" w:eastAsia="黑体"/>
          <w:b/>
          <w:bCs/>
          <w:sz w:val="32"/>
          <w:szCs w:val="32"/>
        </w:rPr>
      </w:r>
    </w:p>
    <w:p>
      <w:pPr>
        <w:pStyle w:val="633"/>
        <w:pBdr/>
        <w:spacing w:line="560" w:lineRule="exact"/>
        <w:ind w:firstLine="640"/>
        <w:outlineLvl w:val="0"/>
        <w:rPr>
          <w:rFonts w:hint="eastAsia" w:ascii="仿宋_GB2312" w:hAnsi="仿宋" w:eastAsia="仿宋_GB2312"/>
          <w:sz w:val="32"/>
          <w:szCs w:val="32"/>
        </w:rPr>
      </w:pPr>
      <w:r>
        <w:rPr>
          <w:rFonts w:hint="eastAsia" w:ascii="仿宋_GB2312" w:hAnsi="仿宋" w:eastAsia="仿宋_GB2312"/>
          <w:sz w:val="32"/>
          <w:szCs w:val="32"/>
        </w:rPr>
        <w:t xml:space="preserve">党中央、国务院历来高度重视安全生产工作。党的十八大以来，习近平总书记针对安全生产作出了一系列重要论述，总书记在党的十九大报告中指出，要“树立安全发展理念，弘扬生命至上、安全第一的思想，健全公共安全体系，完善安全生产责任制，坚决遏制重特大安全事故，提升防灾减灾救灾能力”，这些重要指示批示、重要讲话精神为我们做好安全生产工作提供了根本遵循、提出了明确要求。电力作为推动经济社会发展的重要支撑，必须全面贯彻党的十九大精神，坚决落实党中央、国务院关</w:t>
      </w:r>
      <w:r>
        <w:rPr>
          <w:rFonts w:hint="eastAsia" w:ascii="仿宋_GB2312" w:hAnsi="仿宋" w:eastAsia="仿宋_GB2312"/>
          <w:sz w:val="32"/>
          <w:szCs w:val="32"/>
        </w:rPr>
      </w:r>
      <w:r>
        <w:rPr>
          <w:rFonts w:hint="eastAsia" w:ascii="仿宋_GB2312" w:hAnsi="仿宋" w:eastAsia="仿宋_GB2312"/>
          <w:sz w:val="32"/>
          <w:szCs w:val="32"/>
        </w:rPr>
      </w:r>
    </w:p>
    <w:p>
      <w:pPr>
        <w:pStyle w:val="633"/>
        <w:pBdr/>
        <w:spacing w:line="560" w:lineRule="exact"/>
        <w:ind/>
        <w:outlineLvl w:val="0"/>
        <w:rPr>
          <w:rFonts w:hint="eastAsia" w:ascii="黑体" w:hAnsi="黑体" w:eastAsia="黑体"/>
          <w:bCs/>
          <w:sz w:val="32"/>
          <w:szCs w:val="32"/>
        </w:rPr>
      </w:pPr>
      <w:r>
        <w:rPr>
          <w:rFonts w:hint="eastAsia" w:ascii="仿宋_GB2312" w:hAnsi="仿宋" w:eastAsia="仿宋_GB2312"/>
          <w:sz w:val="32"/>
          <w:szCs w:val="32"/>
        </w:rPr>
        <w:t xml:space="preserve">于安全生产工作的各项决策部署，为新时代下经济的平稳快速发展、为决胜全面建成小康社会实现中国梦贡献力量。</w:t>
      </w:r>
      <w:r>
        <w:rPr>
          <w:rFonts w:hint="eastAsia" w:ascii="黑体" w:hAnsi="黑体" w:eastAsia="黑体"/>
          <w:bCs/>
          <w:sz w:val="32"/>
          <w:szCs w:val="32"/>
        </w:rPr>
      </w:r>
      <w:r>
        <w:rPr>
          <w:rFonts w:hint="eastAsia" w:ascii="黑体" w:hAnsi="黑体" w:eastAsia="黑体"/>
          <w:bCs/>
          <w:sz w:val="32"/>
          <w:szCs w:val="32"/>
        </w:rPr>
      </w:r>
    </w:p>
    <w:p>
      <w:pPr>
        <w:pStyle w:val="633"/>
        <w:pBdr/>
        <w:spacing w:line="560" w:lineRule="exact"/>
        <w:ind w:firstLine="643"/>
        <w:rPr>
          <w:rFonts w:ascii="楷体" w:hAnsi="楷体" w:eastAsia="楷体"/>
          <w:b/>
          <w:sz w:val="32"/>
          <w:szCs w:val="32"/>
        </w:rPr>
      </w:pPr>
      <w:r>
        <w:rPr>
          <w:rFonts w:hint="eastAsia" w:ascii="楷体" w:hAnsi="楷体" w:eastAsia="楷体"/>
          <w:b/>
          <w:sz w:val="32"/>
          <w:szCs w:val="32"/>
        </w:rPr>
        <w:t xml:space="preserve">（一）总体情况</w:t>
      </w:r>
      <w:r>
        <w:rPr>
          <w:rFonts w:ascii="楷体" w:hAnsi="楷体" w:eastAsia="楷体"/>
          <w:b/>
          <w:sz w:val="32"/>
          <w:szCs w:val="32"/>
        </w:rPr>
      </w:r>
      <w:r>
        <w:rPr>
          <w:rFonts w:ascii="楷体" w:hAnsi="楷体" w:eastAsia="楷体"/>
          <w:b/>
          <w:sz w:val="32"/>
          <w:szCs w:val="32"/>
        </w:rPr>
      </w:r>
    </w:p>
    <w:p>
      <w:pPr>
        <w:pStyle w:val="633"/>
        <w:pBdr/>
        <w:spacing w:line="560" w:lineRule="exact"/>
        <w:ind w:firstLine="640"/>
        <w:rPr>
          <w:rFonts w:ascii="仿宋_GB2312" w:hAnsi="仿宋" w:eastAsia="仿宋_GB2312"/>
          <w:sz w:val="32"/>
          <w:szCs w:val="32"/>
        </w:rPr>
      </w:pPr>
      <w:r>
        <w:rPr>
          <w:rFonts w:hint="eastAsia" w:ascii="仿宋_GB2312" w:hAnsi="仿宋" w:eastAsia="仿宋_GB2312"/>
          <w:sz w:val="32"/>
          <w:szCs w:val="32"/>
        </w:rPr>
        <w:t xml:space="preserve">近年来，电力行业认真贯彻落实党中央、国务院各项决策部署，坚持“安全第一、预防为主、综合治理”的方针和“管行业必须管安全、管业务必须管安全、管生产经营必须管安全”的原则，严格落实各级安全生产责任，不断建立健全安全生产法律法规，强化安全生产风险防控和隐患排查治理，推动全国电力安全生产形势持续好转。</w:t>
      </w:r>
      <w:r>
        <w:rPr>
          <w:rFonts w:ascii="仿宋_GB2312" w:hAnsi="仿宋" w:eastAsia="仿宋_GB2312"/>
          <w:sz w:val="32"/>
          <w:szCs w:val="32"/>
        </w:rPr>
      </w:r>
      <w:r>
        <w:rPr>
          <w:rFonts w:ascii="仿宋_GB2312" w:hAnsi="仿宋" w:eastAsia="仿宋_GB2312"/>
          <w:sz w:val="32"/>
          <w:szCs w:val="32"/>
        </w:rPr>
      </w:r>
    </w:p>
    <w:p>
      <w:pPr>
        <w:pStyle w:val="633"/>
        <w:pBdr/>
        <w:spacing w:line="560" w:lineRule="exact"/>
        <w:ind w:firstLine="640"/>
        <w:rPr>
          <w:rFonts w:ascii="仿宋_GB2312" w:hAnsi="仿宋" w:eastAsia="仿宋_GB2312"/>
          <w:sz w:val="32"/>
          <w:szCs w:val="32"/>
        </w:rPr>
      </w:pPr>
      <w:r>
        <w:rPr>
          <w:rFonts w:hint="eastAsia" w:ascii="仿宋_GB2312" w:hAnsi="仿宋" w:eastAsia="仿宋_GB2312"/>
          <w:sz w:val="32"/>
          <w:szCs w:val="32"/>
        </w:rPr>
        <w:t xml:space="preserve">各级安监机构得到进一步完善，安全生产组织体系更加巩固；安全工作规程和事故调查规程等规章制度有效实施，安全生产和建设有章可循并取得一定实效；《防止电力生产事故的二十五项重点要求》得到贯彻落实，电力系统安全稳定导则得到有效实施；应急体系取得巩固和发展；安全风险管控得到有效推广；安全性评价和企业本质安全建设进一步发展；事故总量逐年降低，安全生产整体态势良好。</w:t>
      </w:r>
      <w:r>
        <w:rPr>
          <w:rFonts w:ascii="仿宋_GB2312" w:hAnsi="仿宋" w:eastAsia="仿宋_GB2312"/>
          <w:sz w:val="32"/>
          <w:szCs w:val="32"/>
        </w:rPr>
      </w:r>
      <w:r>
        <w:rPr>
          <w:rFonts w:ascii="仿宋_GB2312" w:hAnsi="仿宋" w:eastAsia="仿宋_GB2312"/>
          <w:sz w:val="32"/>
          <w:szCs w:val="32"/>
        </w:rPr>
      </w:r>
    </w:p>
    <w:p>
      <w:pPr>
        <w:pStyle w:val="633"/>
        <w:pBdr/>
        <w:spacing w:line="560" w:lineRule="exact"/>
        <w:ind w:firstLine="643"/>
        <w:rPr>
          <w:rFonts w:hint="eastAsia" w:ascii="楷体" w:hAnsi="楷体" w:eastAsia="楷体"/>
          <w:b/>
          <w:sz w:val="32"/>
          <w:szCs w:val="32"/>
        </w:rPr>
      </w:pPr>
      <w:r>
        <w:rPr>
          <w:rFonts w:hint="eastAsia" w:ascii="楷体" w:hAnsi="楷体" w:eastAsia="楷体"/>
          <w:b/>
          <w:sz w:val="32"/>
          <w:szCs w:val="32"/>
        </w:rPr>
        <w:t xml:space="preserve">（二）存在问题</w:t>
      </w:r>
      <w:r>
        <w:rPr>
          <w:rFonts w:hint="eastAsia" w:ascii="楷体" w:hAnsi="楷体" w:eastAsia="楷体"/>
          <w:b/>
          <w:sz w:val="32"/>
          <w:szCs w:val="32"/>
        </w:rPr>
      </w:r>
      <w:r>
        <w:rPr>
          <w:rFonts w:hint="eastAsia" w:ascii="楷体" w:hAnsi="楷体" w:eastAsia="楷体"/>
          <w:b/>
          <w:sz w:val="32"/>
          <w:szCs w:val="32"/>
        </w:rPr>
      </w:r>
    </w:p>
    <w:p>
      <w:pPr>
        <w:pStyle w:val="643"/>
        <w:pBdr/>
        <w:shd w:val="clear" w:color="auto" w:fill="ffffff"/>
        <w:spacing w:after="0" w:afterAutospacing="0" w:before="0" w:beforeAutospacing="0" w:line="560" w:lineRule="exact"/>
        <w:ind w:firstLine="640"/>
        <w:rPr>
          <w:rFonts w:hint="eastAsia" w:ascii="仿宋_GB2312" w:hAnsi="仿宋" w:eastAsia="仿宋_GB2312"/>
          <w:sz w:val="32"/>
          <w:szCs w:val="32"/>
        </w:rPr>
      </w:pPr>
      <w:r>
        <w:rPr>
          <w:rFonts w:hint="eastAsia" w:ascii="仿宋_GB2312" w:hAnsi="仿宋" w:eastAsia="仿宋_GB2312"/>
          <w:sz w:val="32"/>
          <w:szCs w:val="32"/>
        </w:rPr>
        <w:t xml:space="preserve">虽然近年来电力安全生产态势总体良好，但人身安全事故仍时有发</w:t>
      </w:r>
      <w:r>
        <w:rPr>
          <w:rFonts w:hint="eastAsia" w:ascii="仿宋_GB2312" w:hAnsi="仿宋" w:eastAsia="仿宋_GB2312" w:cs="Times New Roman"/>
          <w:sz w:val="32"/>
          <w:szCs w:val="32"/>
        </w:rPr>
        <w:t xml:space="preserve">生，个别事故导致的</w:t>
      </w:r>
      <w:r>
        <w:rPr>
          <w:rFonts w:hint="eastAsia" w:ascii="仿宋_GB2312" w:hAnsi="仿宋" w:eastAsia="仿宋_GB2312"/>
          <w:sz w:val="32"/>
          <w:szCs w:val="32"/>
        </w:rPr>
        <w:t xml:space="preserve">伤亡人数依然较大，特别是2</w:t>
      </w:r>
      <w:r>
        <w:rPr>
          <w:rFonts w:ascii="仿宋_GB2312" w:hAnsi="仿宋" w:eastAsia="仿宋_GB2312"/>
          <w:sz w:val="32"/>
          <w:szCs w:val="32"/>
        </w:rPr>
        <w:t xml:space="preserve">016</w:t>
      </w:r>
      <w:r>
        <w:rPr>
          <w:rFonts w:hint="eastAsia" w:ascii="仿宋_GB2312" w:hAnsi="仿宋" w:eastAsia="仿宋_GB2312"/>
          <w:sz w:val="32"/>
          <w:szCs w:val="32"/>
        </w:rPr>
        <w:t xml:space="preserve">年江西丰城发电厂“11</w:t>
      </w:r>
      <w:r>
        <w:rPr>
          <w:rFonts w:hint="eastAsia"/>
          <w:sz w:val="32"/>
          <w:szCs w:val="32"/>
        </w:rPr>
        <w:t xml:space="preserve">•</w:t>
      </w:r>
      <w:r>
        <w:rPr>
          <w:rFonts w:hint="eastAsia" w:ascii="仿宋_GB2312" w:hAnsi="仿宋" w:eastAsia="仿宋_GB2312"/>
          <w:sz w:val="32"/>
          <w:szCs w:val="32"/>
        </w:rPr>
        <w:t xml:space="preserve">24”冷却塔施工平台坍塌特别重大事故和湖北当阳市马店矸石发电有限责任公司“8</w:t>
      </w:r>
      <w:r>
        <w:rPr>
          <w:rFonts w:hint="eastAsia"/>
          <w:sz w:val="32"/>
          <w:szCs w:val="32"/>
        </w:rPr>
        <w:t xml:space="preserve">•</w:t>
      </w:r>
      <w:r>
        <w:rPr>
          <w:rFonts w:hint="eastAsia" w:ascii="仿宋_GB2312" w:hAnsi="仿宋" w:eastAsia="仿宋_GB2312"/>
          <w:sz w:val="32"/>
          <w:szCs w:val="32"/>
        </w:rPr>
        <w:t xml:space="preserve">11”重大高压蒸汽管道裂爆事故，教训十分惨痛。</w:t>
      </w:r>
      <w:r>
        <w:rPr>
          <w:rFonts w:hint="eastAsia" w:ascii="仿宋_GB2312" w:hAnsi="仿宋" w:eastAsia="仿宋_GB2312"/>
          <w:sz w:val="32"/>
          <w:szCs w:val="32"/>
        </w:rPr>
      </w:r>
      <w:r>
        <w:rPr>
          <w:rFonts w:hint="eastAsia" w:ascii="仿宋_GB2312" w:hAnsi="仿宋" w:eastAsia="仿宋_GB2312"/>
          <w:sz w:val="32"/>
          <w:szCs w:val="32"/>
        </w:rPr>
      </w:r>
    </w:p>
    <w:p>
      <w:pPr>
        <w:pStyle w:val="633"/>
        <w:pBdr/>
        <w:spacing w:line="560" w:lineRule="exact"/>
        <w:ind w:firstLine="640"/>
        <w:jc w:val="left"/>
        <w:rPr>
          <w:rFonts w:ascii="仿宋_GB2312" w:hAnsi="仿宋" w:eastAsia="仿宋_GB2312"/>
          <w:sz w:val="32"/>
          <w:szCs w:val="32"/>
        </w:rPr>
      </w:pPr>
      <w:r>
        <w:rPr>
          <w:rFonts w:hint="eastAsia" w:ascii="仿宋_GB2312" w:hAnsi="仿宋" w:eastAsia="仿宋_GB2312"/>
          <w:sz w:val="32"/>
          <w:szCs w:val="32"/>
        </w:rPr>
        <w:t xml:space="preserve">随着电力规模的持续扩大、控制难度的日趋复杂、电力项目的不断增加，电力安全风险依旧并将长期存在。部分单位安全意识、安全技能、安全保障仍显薄弱；部分企业安全生产主体责任履行不到位；安全监管体制机制有待进一步完善，齐抓共管局面尚未形成；双重预防机制没有实现全覆盖；电力行业技术监督有所削弱；承（分）包安全管理问题突出，部分电力建设项目轻质量、抢工期，存在较大安全风险；事故应急救援与保障能力依旧薄弱；安全诚信体系亟待建立，失信惩戒和守信激励机制尚未健全；安全文化引领作用尚未充分发挥。</w:t>
      </w:r>
      <w:r>
        <w:rPr>
          <w:rFonts w:ascii="仿宋_GB2312" w:hAnsi="仿宋" w:eastAsia="仿宋_GB2312"/>
          <w:sz w:val="32"/>
          <w:szCs w:val="32"/>
        </w:rPr>
      </w:r>
      <w:r>
        <w:rPr>
          <w:rFonts w:ascii="仿宋_GB2312" w:hAnsi="仿宋" w:eastAsia="仿宋_GB2312"/>
          <w:sz w:val="32"/>
          <w:szCs w:val="32"/>
        </w:rPr>
      </w:r>
    </w:p>
    <w:p>
      <w:pPr>
        <w:pStyle w:val="633"/>
        <w:pBdr/>
        <w:spacing w:line="560" w:lineRule="exact"/>
        <w:ind w:firstLine="643"/>
        <w:rPr>
          <w:rFonts w:hint="eastAsia" w:ascii="楷体" w:hAnsi="楷体" w:eastAsia="楷体"/>
          <w:b/>
          <w:sz w:val="32"/>
          <w:szCs w:val="32"/>
        </w:rPr>
      </w:pPr>
      <w:r>
        <w:rPr>
          <w:rFonts w:hint="eastAsia" w:ascii="楷体" w:hAnsi="楷体" w:eastAsia="楷体"/>
          <w:b/>
          <w:sz w:val="32"/>
          <w:szCs w:val="32"/>
        </w:rPr>
        <w:t xml:space="preserve">（三）新挑战与新机遇</w:t>
      </w:r>
      <w:r>
        <w:rPr>
          <w:rFonts w:hint="eastAsia" w:ascii="楷体" w:hAnsi="楷体" w:eastAsia="楷体"/>
          <w:b/>
          <w:sz w:val="32"/>
          <w:szCs w:val="32"/>
        </w:rPr>
      </w:r>
      <w:r>
        <w:rPr>
          <w:rFonts w:hint="eastAsia" w:ascii="楷体" w:hAnsi="楷体" w:eastAsia="楷体"/>
          <w:b/>
          <w:sz w:val="32"/>
          <w:szCs w:val="32"/>
        </w:rPr>
      </w:r>
    </w:p>
    <w:p>
      <w:pPr>
        <w:pStyle w:val="633"/>
        <w:pBdr/>
        <w:spacing w:line="560" w:lineRule="exact"/>
        <w:ind w:firstLine="640"/>
        <w:rPr>
          <w:rFonts w:hint="eastAsia" w:ascii="仿宋_GB2312" w:hAnsi="仿宋" w:eastAsia="仿宋_GB2312"/>
          <w:sz w:val="32"/>
          <w:szCs w:val="32"/>
        </w:rPr>
      </w:pPr>
      <w:r>
        <w:rPr>
          <w:rFonts w:hint="eastAsia" w:ascii="仿宋_GB2312" w:hAnsi="仿宋" w:eastAsia="仿宋_GB2312"/>
          <w:sz w:val="32"/>
          <w:szCs w:val="32"/>
        </w:rPr>
        <w:t xml:space="preserve">我国已经进入新时代，</w:t>
      </w:r>
      <w:r>
        <w:rPr>
          <w:rFonts w:ascii="仿宋_GB2312" w:hAnsi="仿宋" w:eastAsia="仿宋_GB2312"/>
          <w:sz w:val="32"/>
          <w:szCs w:val="32"/>
        </w:rPr>
        <w:t xml:space="preserve">2018</w:t>
      </w:r>
      <w:r>
        <w:rPr>
          <w:rFonts w:hint="eastAsia" w:ascii="仿宋_GB2312" w:hAnsi="仿宋" w:eastAsia="仿宋_GB2312"/>
          <w:sz w:val="32"/>
          <w:szCs w:val="32"/>
        </w:rPr>
        <w:t xml:space="preserve">～</w:t>
      </w:r>
      <w:r>
        <w:rPr>
          <w:rFonts w:ascii="仿宋_GB2312" w:hAnsi="仿宋" w:eastAsia="仿宋_GB2312"/>
          <w:sz w:val="32"/>
          <w:szCs w:val="32"/>
        </w:rPr>
        <w:t xml:space="preserve">2020</w:t>
      </w:r>
      <w:r>
        <w:rPr>
          <w:rFonts w:hint="eastAsia" w:ascii="仿宋_GB2312" w:hAnsi="仿宋" w:eastAsia="仿宋_GB2312"/>
          <w:sz w:val="32"/>
          <w:szCs w:val="32"/>
        </w:rPr>
        <w:t xml:space="preserve">年，随着国家推进能源结构调整、供给侧和电力体制改革，安全生产将面临新挑战与新机遇。主要表现在：</w:t>
      </w:r>
      <w:r>
        <w:rPr>
          <w:rFonts w:hint="eastAsia" w:ascii="仿宋_GB2312" w:hAnsi="仿宋" w:eastAsia="仿宋_GB2312"/>
          <w:sz w:val="32"/>
          <w:szCs w:val="32"/>
        </w:rPr>
      </w:r>
      <w:r>
        <w:rPr>
          <w:rFonts w:hint="eastAsia" w:ascii="仿宋_GB2312" w:hAnsi="仿宋" w:eastAsia="仿宋_GB2312"/>
          <w:sz w:val="32"/>
          <w:szCs w:val="32"/>
        </w:rPr>
      </w:r>
    </w:p>
    <w:p>
      <w:pPr>
        <w:pStyle w:val="633"/>
        <w:pBdr/>
        <w:spacing w:line="560" w:lineRule="exact"/>
        <w:ind w:firstLine="643"/>
        <w:rPr>
          <w:rFonts w:hint="eastAsia" w:ascii="仿宋_GB2312" w:hAnsi="仿宋" w:eastAsia="仿宋_GB2312"/>
          <w:sz w:val="32"/>
          <w:szCs w:val="32"/>
        </w:rPr>
      </w:pPr>
      <w:r>
        <w:rPr>
          <w:rFonts w:hint="eastAsia" w:ascii="仿宋_GB2312" w:hAnsi="仿宋" w:eastAsia="仿宋_GB2312"/>
          <w:b/>
          <w:bCs/>
          <w:sz w:val="32"/>
          <w:szCs w:val="32"/>
        </w:rPr>
        <w:t xml:space="preserve">新挑战：一是</w:t>
      </w:r>
      <w:r>
        <w:rPr>
          <w:rFonts w:hint="eastAsia" w:ascii="仿宋_GB2312" w:hAnsi="仿宋" w:eastAsia="仿宋_GB2312"/>
          <w:sz w:val="32"/>
          <w:szCs w:val="32"/>
        </w:rPr>
        <w:t xml:space="preserve">交直流特高压组网过程中，开展大范围、大容量电力电量调配，大面积停电的安全风险加大；</w:t>
      </w:r>
      <w:r>
        <w:rPr>
          <w:rFonts w:hint="eastAsia" w:ascii="仿宋_GB2312" w:hAnsi="仿宋" w:eastAsia="仿宋_GB2312"/>
          <w:b/>
          <w:bCs/>
          <w:sz w:val="32"/>
          <w:szCs w:val="32"/>
        </w:rPr>
        <w:t xml:space="preserve">二是</w:t>
      </w:r>
      <w:r>
        <w:rPr>
          <w:rFonts w:hint="eastAsia" w:ascii="仿宋_GB2312" w:hAnsi="仿宋" w:eastAsia="仿宋_GB2312"/>
          <w:sz w:val="32"/>
          <w:szCs w:val="32"/>
        </w:rPr>
        <w:t xml:space="preserve">风光等新能源和分布式能源、微电网的快速发展，使安全风险管控难度进一步增加；</w:t>
      </w:r>
      <w:r>
        <w:rPr>
          <w:rFonts w:hint="eastAsia" w:ascii="仿宋_GB2312" w:hAnsi="仿宋" w:eastAsia="仿宋_GB2312"/>
          <w:b/>
          <w:bCs/>
          <w:sz w:val="32"/>
          <w:szCs w:val="32"/>
        </w:rPr>
        <w:t xml:space="preserve">三是</w:t>
      </w:r>
      <w:r>
        <w:rPr>
          <w:rFonts w:hint="eastAsia" w:ascii="仿宋_GB2312" w:hAnsi="仿宋" w:eastAsia="仿宋_GB2312"/>
          <w:sz w:val="32"/>
          <w:szCs w:val="32"/>
        </w:rPr>
        <w:t xml:space="preserve">随着信息化技术在电力系统广泛应用，网络信息安全形势日益严峻，直接威胁电力系统安全稳定；</w:t>
      </w:r>
      <w:r>
        <w:rPr>
          <w:rFonts w:hint="eastAsia" w:ascii="仿宋_GB2312" w:hAnsi="仿宋" w:eastAsia="仿宋_GB2312"/>
          <w:b/>
          <w:bCs/>
          <w:sz w:val="32"/>
          <w:szCs w:val="32"/>
        </w:rPr>
        <w:t xml:space="preserve">四是</w:t>
      </w:r>
      <w:r>
        <w:rPr>
          <w:rFonts w:hint="eastAsia" w:ascii="仿宋_GB2312" w:hAnsi="仿宋" w:eastAsia="仿宋_GB2312"/>
          <w:sz w:val="32"/>
          <w:szCs w:val="32"/>
        </w:rPr>
        <w:t xml:space="preserve">电力工程建设快速发展，人才、设备、管理适应难度大，安全监管能力和手段面临极大挑战。</w:t>
      </w:r>
      <w:r>
        <w:rPr>
          <w:rFonts w:hint="eastAsia" w:ascii="仿宋_GB2312" w:hAnsi="仿宋" w:eastAsia="仿宋_GB2312"/>
          <w:sz w:val="32"/>
          <w:szCs w:val="32"/>
        </w:rPr>
      </w:r>
      <w:r>
        <w:rPr>
          <w:rFonts w:hint="eastAsia" w:ascii="仿宋_GB2312" w:hAnsi="仿宋" w:eastAsia="仿宋_GB2312"/>
          <w:sz w:val="32"/>
          <w:szCs w:val="32"/>
        </w:rPr>
      </w:r>
    </w:p>
    <w:p>
      <w:pPr>
        <w:pStyle w:val="633"/>
        <w:pBdr/>
        <w:spacing w:line="560" w:lineRule="exact"/>
        <w:ind w:firstLine="643"/>
        <w:rPr>
          <w:rFonts w:ascii="仿宋_GB2312" w:hAnsi="仿宋" w:eastAsia="仿宋_GB2312"/>
          <w:sz w:val="32"/>
          <w:szCs w:val="32"/>
        </w:rPr>
      </w:pPr>
      <w:r>
        <w:rPr>
          <w:rFonts w:hint="eastAsia" w:ascii="仿宋_GB2312" w:hAnsi="仿宋" w:eastAsia="仿宋_GB2312"/>
          <w:b/>
          <w:bCs/>
          <w:sz w:val="32"/>
          <w:szCs w:val="32"/>
        </w:rPr>
        <w:t xml:space="preserve">新机遇：一是</w:t>
      </w:r>
      <w:r>
        <w:rPr>
          <w:rFonts w:hint="eastAsia" w:ascii="仿宋_GB2312" w:hAnsi="仿宋" w:eastAsia="仿宋_GB2312"/>
          <w:sz w:val="32"/>
          <w:szCs w:val="32"/>
        </w:rPr>
        <w:t xml:space="preserve">党中央、国务院高度重视安全生产工作，党的十九大提出了明确要求，各级单位全面贯彻落实，为电力安全生产工作提供了有力保障；</w:t>
      </w:r>
      <w:r>
        <w:rPr>
          <w:rFonts w:hint="eastAsia" w:ascii="仿宋_GB2312" w:hAnsi="仿宋" w:eastAsia="仿宋_GB2312"/>
          <w:b/>
          <w:bCs/>
          <w:sz w:val="32"/>
          <w:szCs w:val="32"/>
        </w:rPr>
        <w:t xml:space="preserve">二是</w:t>
      </w:r>
      <w:r>
        <w:rPr>
          <w:rFonts w:hint="eastAsia" w:ascii="仿宋_GB2312" w:hAnsi="仿宋" w:eastAsia="仿宋_GB2312"/>
          <w:sz w:val="32"/>
          <w:szCs w:val="32"/>
        </w:rPr>
        <w:t xml:space="preserve">社会对安全生产的关注度日益提高，以人为本、生命至上理念进一步增强，电力安全生产的社会环境进一步优化；</w:t>
      </w:r>
      <w:r>
        <w:rPr>
          <w:rFonts w:hint="eastAsia" w:ascii="仿宋_GB2312" w:hAnsi="仿宋" w:eastAsia="仿宋_GB2312"/>
          <w:b/>
          <w:bCs/>
          <w:sz w:val="32"/>
          <w:szCs w:val="32"/>
        </w:rPr>
        <w:t xml:space="preserve">三是</w:t>
      </w:r>
      <w:r>
        <w:rPr>
          <w:rFonts w:hint="eastAsia" w:ascii="仿宋_GB2312" w:hAnsi="仿宋" w:eastAsia="仿宋_GB2312"/>
          <w:sz w:val="32"/>
          <w:szCs w:val="32"/>
        </w:rPr>
        <w:t xml:space="preserve">科技创新快速发展，新技术、新材料、新设备的不断投入，为提高电力安全生产水平提供了技术保障。</w:t>
      </w:r>
      <w:r>
        <w:rPr>
          <w:rFonts w:ascii="仿宋_GB2312" w:hAnsi="仿宋" w:eastAsia="仿宋_GB2312"/>
          <w:sz w:val="32"/>
          <w:szCs w:val="32"/>
        </w:rPr>
      </w:r>
      <w:r>
        <w:rPr>
          <w:rFonts w:ascii="仿宋_GB2312" w:hAnsi="仿宋" w:eastAsia="仿宋_GB2312"/>
          <w:sz w:val="32"/>
          <w:szCs w:val="32"/>
        </w:rPr>
      </w:r>
    </w:p>
    <w:p>
      <w:pPr>
        <w:pStyle w:val="633"/>
        <w:pBdr/>
        <w:spacing w:line="560" w:lineRule="exact"/>
        <w:ind w:firstLine="643"/>
        <w:outlineLvl w:val="0"/>
        <w:rPr>
          <w:rFonts w:hint="eastAsia" w:ascii="黑体" w:hAnsi="黑体" w:eastAsia="黑体"/>
          <w:b/>
          <w:bCs/>
          <w:sz w:val="32"/>
          <w:szCs w:val="32"/>
        </w:rPr>
      </w:pPr>
      <w:r>
        <w:rPr>
          <w:rFonts w:hint="eastAsia" w:ascii="黑体" w:hAnsi="黑体" w:eastAsia="黑体"/>
          <w:b/>
          <w:bCs/>
          <w:sz w:val="32"/>
          <w:szCs w:val="32"/>
        </w:rPr>
        <w:t xml:space="preserve">二、指导思想、基本原则和目标</w:t>
      </w:r>
      <w:r>
        <w:rPr>
          <w:rFonts w:hint="eastAsia" w:ascii="黑体" w:hAnsi="黑体" w:eastAsia="黑体"/>
          <w:b/>
          <w:bCs/>
          <w:sz w:val="32"/>
          <w:szCs w:val="32"/>
        </w:rPr>
      </w:r>
      <w:r>
        <w:rPr>
          <w:rFonts w:hint="eastAsia" w:ascii="黑体" w:hAnsi="黑体" w:eastAsia="黑体"/>
          <w:b/>
          <w:bCs/>
          <w:sz w:val="32"/>
          <w:szCs w:val="32"/>
        </w:rPr>
      </w:r>
    </w:p>
    <w:p>
      <w:pPr>
        <w:pStyle w:val="633"/>
        <w:pBdr/>
        <w:spacing w:line="560" w:lineRule="exact"/>
        <w:ind w:firstLine="643"/>
        <w:rPr>
          <w:rFonts w:hint="eastAsia" w:ascii="楷体" w:hAnsi="楷体" w:eastAsia="楷体"/>
          <w:b/>
          <w:sz w:val="32"/>
          <w:szCs w:val="32"/>
        </w:rPr>
      </w:pPr>
      <w:r>
        <w:rPr>
          <w:rFonts w:hint="eastAsia" w:ascii="楷体" w:hAnsi="楷体" w:eastAsia="楷体"/>
          <w:b/>
          <w:sz w:val="32"/>
          <w:szCs w:val="32"/>
        </w:rPr>
        <w:t xml:space="preserve">（一）指导思想</w:t>
      </w:r>
      <w:r>
        <w:rPr>
          <w:rFonts w:hint="eastAsia" w:ascii="楷体" w:hAnsi="楷体" w:eastAsia="楷体"/>
          <w:b/>
          <w:sz w:val="32"/>
          <w:szCs w:val="32"/>
        </w:rPr>
      </w:r>
      <w:r>
        <w:rPr>
          <w:rFonts w:hint="eastAsia" w:ascii="楷体" w:hAnsi="楷体" w:eastAsia="楷体"/>
          <w:b/>
          <w:sz w:val="32"/>
          <w:szCs w:val="32"/>
        </w:rPr>
      </w:r>
    </w:p>
    <w:p>
      <w:pPr>
        <w:pStyle w:val="633"/>
        <w:pBdr/>
        <w:spacing w:line="560" w:lineRule="exact"/>
        <w:ind w:firstLine="640"/>
        <w:rPr>
          <w:rFonts w:ascii="仿宋_GB2312" w:hAnsi="仿宋" w:eastAsia="仿宋_GB2312"/>
          <w:sz w:val="32"/>
          <w:szCs w:val="32"/>
        </w:rPr>
      </w:pPr>
      <w:r>
        <w:rPr>
          <w:rFonts w:hint="eastAsia" w:ascii="仿宋_GB2312" w:hAnsi="仿宋" w:eastAsia="仿宋_GB2312"/>
          <w:sz w:val="32"/>
          <w:szCs w:val="32"/>
        </w:rPr>
        <w:t xml:space="preserve">以习近平新时代中国特色社会主义思想为指导，全面贯彻党的十九大精神，认真落实党中央、国务院关于安全生产工作的决策部署；牢固树立安全发展理念</w:t>
      </w:r>
      <w:r>
        <w:rPr>
          <w:rFonts w:hint="eastAsia" w:ascii="仿宋_GB2312" w:hAnsi="仿宋" w:eastAsia="仿宋_GB2312"/>
          <w:color w:val="000000"/>
          <w:sz w:val="32"/>
          <w:szCs w:val="32"/>
          <w:shd w:val="clear" w:color="auto" w:fill="ffffff"/>
        </w:rPr>
        <w:t xml:space="preserve">，落实电力安全生产责任，全面构建安全风险分级管控和隐患排查治理双重预防机制，不断推进本质安全建设，营造良好安全文化氛围，保持电力安全生产形势持续稳定</w:t>
      </w:r>
      <w:r>
        <w:rPr>
          <w:rFonts w:hint="eastAsia" w:ascii="仿宋_GB2312" w:hAnsi="仿宋" w:eastAsia="仿宋_GB2312"/>
          <w:sz w:val="32"/>
          <w:szCs w:val="32"/>
        </w:rPr>
        <w:t xml:space="preserve">，为决胜全面建成小康社会实现中国梦创造良好的电力安全环境。</w:t>
      </w:r>
      <w:r>
        <w:rPr>
          <w:rFonts w:ascii="仿宋_GB2312" w:hAnsi="仿宋" w:eastAsia="仿宋_GB2312"/>
          <w:sz w:val="32"/>
          <w:szCs w:val="32"/>
        </w:rPr>
      </w:r>
      <w:r>
        <w:rPr>
          <w:rFonts w:ascii="仿宋_GB2312" w:hAnsi="仿宋" w:eastAsia="仿宋_GB2312"/>
          <w:sz w:val="32"/>
          <w:szCs w:val="32"/>
        </w:rPr>
      </w:r>
    </w:p>
    <w:p>
      <w:pPr>
        <w:pStyle w:val="633"/>
        <w:pBdr/>
        <w:spacing w:line="560" w:lineRule="exact"/>
        <w:ind w:firstLine="643"/>
        <w:jc w:val="left"/>
        <w:outlineLvl w:val="1"/>
        <w:rPr>
          <w:rFonts w:hint="eastAsia" w:ascii="楷体" w:hAnsi="楷体" w:eastAsia="楷体"/>
          <w:b/>
          <w:sz w:val="32"/>
          <w:szCs w:val="32"/>
        </w:rPr>
      </w:pPr>
      <w:r>
        <w:rPr>
          <w:rFonts w:hint="eastAsia" w:ascii="楷体" w:hAnsi="楷体" w:eastAsia="楷体"/>
          <w:b/>
          <w:sz w:val="32"/>
          <w:szCs w:val="32"/>
        </w:rPr>
        <w:t xml:space="preserve">（二）基本原则</w:t>
      </w:r>
      <w:r>
        <w:rPr>
          <w:rFonts w:hint="eastAsia" w:ascii="楷体" w:hAnsi="楷体" w:eastAsia="楷体"/>
          <w:b/>
          <w:sz w:val="32"/>
          <w:szCs w:val="32"/>
        </w:rPr>
      </w:r>
      <w:r>
        <w:rPr>
          <w:rFonts w:hint="eastAsia" w:ascii="楷体" w:hAnsi="楷体" w:eastAsia="楷体"/>
          <w:b/>
          <w:sz w:val="32"/>
          <w:szCs w:val="32"/>
        </w:rPr>
      </w:r>
    </w:p>
    <w:p>
      <w:pPr>
        <w:pStyle w:val="633"/>
        <w:pBdr/>
        <w:spacing w:line="560" w:lineRule="exact"/>
        <w:ind w:firstLine="640"/>
        <w:rPr>
          <w:rFonts w:ascii="仿宋_GB2312" w:hAnsi="仿宋" w:eastAsia="仿宋_GB2312"/>
          <w:sz w:val="32"/>
          <w:szCs w:val="32"/>
        </w:rPr>
      </w:pPr>
      <w:r>
        <w:rPr>
          <w:rFonts w:hint="eastAsia" w:ascii="仿宋_GB2312" w:hAnsi="仿宋" w:eastAsia="仿宋_GB2312"/>
          <w:sz w:val="32"/>
          <w:szCs w:val="32"/>
        </w:rPr>
        <w:t xml:space="preserve">安全发展。以安全促发展，以责任落实提升安全水平，始终把安全置于工作首位，突出安全的基础性作用，以人为本，强化红线意识和底线思维，切实维护人民群众生命和财产安全，推动电力行业持续健康发展。</w:t>
      </w:r>
      <w:r>
        <w:rPr>
          <w:rFonts w:ascii="仿宋_GB2312" w:hAnsi="仿宋" w:eastAsia="仿宋_GB2312"/>
          <w:sz w:val="32"/>
          <w:szCs w:val="32"/>
        </w:rPr>
      </w:r>
      <w:r>
        <w:rPr>
          <w:rFonts w:ascii="仿宋_GB2312" w:hAnsi="仿宋" w:eastAsia="仿宋_GB2312"/>
          <w:sz w:val="32"/>
          <w:szCs w:val="32"/>
        </w:rPr>
      </w:r>
    </w:p>
    <w:p>
      <w:pPr>
        <w:pStyle w:val="633"/>
        <w:pBdr/>
        <w:spacing w:line="560" w:lineRule="exact"/>
        <w:ind w:firstLine="640"/>
        <w:rPr>
          <w:rFonts w:hint="eastAsia" w:ascii="仿宋_GB2312" w:hAnsi="仿宋" w:eastAsia="仿宋_GB2312"/>
          <w:sz w:val="32"/>
          <w:szCs w:val="32"/>
        </w:rPr>
      </w:pPr>
      <w:r>
        <w:rPr>
          <w:rFonts w:hint="eastAsia" w:ascii="仿宋_GB2312" w:hAnsi="仿宋" w:eastAsia="仿宋_GB2312"/>
          <w:sz w:val="32"/>
          <w:szCs w:val="32"/>
        </w:rPr>
        <w:t xml:space="preserve">源头防范。严格电力安全市场准入，把安全贯穿于规划、设计、建设、管理、生产、经营等各环节，提升本质安全水平，提高安全风险管控能力，完善隐患排查治理机制，严防风险失控和隐患治理不及时导致的安全事故。</w:t>
      </w:r>
      <w:r>
        <w:rPr>
          <w:rFonts w:hint="eastAsia" w:ascii="仿宋_GB2312" w:hAnsi="仿宋" w:eastAsia="仿宋_GB2312"/>
          <w:sz w:val="32"/>
          <w:szCs w:val="32"/>
        </w:rPr>
      </w:r>
      <w:r>
        <w:rPr>
          <w:rFonts w:hint="eastAsia" w:ascii="仿宋_GB2312" w:hAnsi="仿宋" w:eastAsia="仿宋_GB2312"/>
          <w:sz w:val="32"/>
          <w:szCs w:val="32"/>
        </w:rPr>
      </w:r>
    </w:p>
    <w:p>
      <w:pPr>
        <w:pStyle w:val="633"/>
        <w:pBdr/>
        <w:spacing w:line="560" w:lineRule="exact"/>
        <w:ind w:firstLine="640"/>
        <w:rPr>
          <w:rFonts w:ascii="仿宋_GB2312" w:hAnsi="仿宋" w:eastAsia="仿宋_GB2312"/>
          <w:sz w:val="32"/>
          <w:szCs w:val="32"/>
        </w:rPr>
      </w:pPr>
      <w:r>
        <w:rPr>
          <w:rFonts w:hint="eastAsia" w:ascii="仿宋_GB2312" w:hAnsi="仿宋" w:eastAsia="仿宋_GB2312"/>
          <w:sz w:val="32"/>
          <w:szCs w:val="32"/>
        </w:rPr>
        <w:t xml:space="preserve">改革创新。坚持问题导向和目标导向有机统一，把握新形势，破解新问题，全面推进电力安全生产的理论创新、机制创新、管理创新、科技创新和文化创新，提升电力安全发展的能力与效率，构筑电力安全可持续发展的强力保障。</w:t>
      </w:r>
      <w:r>
        <w:rPr>
          <w:rFonts w:ascii="仿宋_GB2312" w:hAnsi="仿宋" w:eastAsia="仿宋_GB2312"/>
          <w:sz w:val="32"/>
          <w:szCs w:val="32"/>
        </w:rPr>
      </w:r>
      <w:r>
        <w:rPr>
          <w:rFonts w:ascii="仿宋_GB2312" w:hAnsi="仿宋" w:eastAsia="仿宋_GB2312"/>
          <w:sz w:val="32"/>
          <w:szCs w:val="32"/>
        </w:rPr>
      </w:r>
    </w:p>
    <w:p>
      <w:pPr>
        <w:pStyle w:val="633"/>
        <w:pBdr/>
        <w:spacing w:line="560" w:lineRule="exact"/>
        <w:ind w:firstLine="640"/>
        <w:rPr>
          <w:rFonts w:hint="eastAsia" w:ascii="仿宋_GB2312" w:hAnsi="仿宋" w:eastAsia="仿宋_GB2312"/>
          <w:sz w:val="32"/>
          <w:szCs w:val="32"/>
        </w:rPr>
      </w:pPr>
      <w:r>
        <w:rPr>
          <w:rFonts w:hint="eastAsia" w:ascii="仿宋_GB2312" w:hAnsi="仿宋" w:eastAsia="仿宋_GB2312"/>
          <w:sz w:val="32"/>
          <w:szCs w:val="32"/>
        </w:rPr>
        <w:t xml:space="preserve">协同共治。统筹全社会各方资源，发挥政府、行业、社会在电力安全治理中领导、监管、支持作用，构建行业管理部门主导、社会协同、民众参与的电力安全治理体系，全面提升电力安全治理能力。</w:t>
      </w:r>
      <w:r>
        <w:rPr>
          <w:rFonts w:hint="eastAsia" w:ascii="仿宋_GB2312" w:hAnsi="仿宋" w:eastAsia="仿宋_GB2312"/>
          <w:sz w:val="32"/>
          <w:szCs w:val="32"/>
        </w:rPr>
      </w:r>
      <w:r>
        <w:rPr>
          <w:rFonts w:hint="eastAsia" w:ascii="仿宋_GB2312" w:hAnsi="仿宋" w:eastAsia="仿宋_GB2312"/>
          <w:sz w:val="32"/>
          <w:szCs w:val="32"/>
        </w:rPr>
      </w:r>
    </w:p>
    <w:p>
      <w:pPr>
        <w:pStyle w:val="633"/>
        <w:pBdr/>
        <w:spacing w:line="560" w:lineRule="exact"/>
        <w:ind w:firstLine="640"/>
        <w:rPr>
          <w:rFonts w:ascii="仿宋_GB2312" w:hAnsi="仿宋" w:eastAsia="仿宋_GB2312"/>
          <w:sz w:val="32"/>
          <w:szCs w:val="32"/>
        </w:rPr>
      </w:pPr>
      <w:r>
        <w:rPr>
          <w:rFonts w:hint="eastAsia" w:ascii="仿宋_GB2312" w:hAnsi="仿宋" w:eastAsia="仿宋_GB2312"/>
          <w:sz w:val="32"/>
          <w:szCs w:val="32"/>
        </w:rPr>
        <w:t xml:space="preserve">依法监管。健全电力安全法律法规体系，营造电力安全法治环境，不断强化执法的严肃性、权威性，</w:t>
      </w:r>
      <w:r>
        <w:rPr>
          <w:rFonts w:hint="eastAsia" w:ascii="仿宋_GB2312" w:hAnsi="仿宋" w:eastAsia="仿宋_GB2312"/>
          <w:color w:val="000000"/>
          <w:sz w:val="32"/>
          <w:szCs w:val="32"/>
          <w:shd w:val="clear" w:color="auto" w:fill="ffffff"/>
        </w:rPr>
        <w:t xml:space="preserve">持续加大监管执法和问责力度，</w:t>
      </w:r>
      <w:r>
        <w:rPr>
          <w:rFonts w:hint="eastAsia" w:ascii="仿宋_GB2312" w:hAnsi="仿宋" w:eastAsia="仿宋_GB2312"/>
          <w:sz w:val="32"/>
          <w:szCs w:val="32"/>
        </w:rPr>
        <w:t xml:space="preserve">增强电力安全监管执法效能，提高电力安全生产法治化水平。</w:t>
      </w:r>
      <w:r>
        <w:rPr>
          <w:rFonts w:ascii="仿宋_GB2312" w:hAnsi="仿宋" w:eastAsia="仿宋_GB2312"/>
          <w:sz w:val="32"/>
          <w:szCs w:val="32"/>
        </w:rPr>
      </w:r>
      <w:r>
        <w:rPr>
          <w:rFonts w:ascii="仿宋_GB2312" w:hAnsi="仿宋" w:eastAsia="仿宋_GB2312"/>
          <w:sz w:val="32"/>
          <w:szCs w:val="32"/>
        </w:rPr>
      </w:r>
    </w:p>
    <w:p>
      <w:pPr>
        <w:pStyle w:val="633"/>
        <w:pBdr/>
        <w:spacing w:line="560" w:lineRule="exact"/>
        <w:ind w:firstLine="643"/>
        <w:jc w:val="left"/>
        <w:outlineLvl w:val="1"/>
        <w:rPr>
          <w:rFonts w:hint="eastAsia" w:ascii="楷体" w:hAnsi="楷体" w:eastAsia="楷体"/>
          <w:b/>
          <w:sz w:val="32"/>
          <w:szCs w:val="32"/>
        </w:rPr>
      </w:pPr>
      <w:r>
        <w:rPr>
          <w:rFonts w:hint="eastAsia" w:ascii="楷体" w:hAnsi="楷体" w:eastAsia="楷体"/>
          <w:b/>
          <w:sz w:val="32"/>
          <w:szCs w:val="32"/>
        </w:rPr>
        <w:t xml:space="preserve">（三）目标</w:t>
      </w:r>
      <w:r>
        <w:rPr>
          <w:rFonts w:hint="eastAsia" w:ascii="楷体" w:hAnsi="楷体" w:eastAsia="楷体"/>
          <w:b/>
          <w:sz w:val="32"/>
          <w:szCs w:val="32"/>
        </w:rPr>
      </w:r>
      <w:r>
        <w:rPr>
          <w:rFonts w:hint="eastAsia" w:ascii="楷体" w:hAnsi="楷体" w:eastAsia="楷体"/>
          <w:b/>
          <w:sz w:val="32"/>
          <w:szCs w:val="32"/>
        </w:rPr>
      </w:r>
    </w:p>
    <w:p>
      <w:pPr>
        <w:pStyle w:val="633"/>
        <w:pBdr/>
        <w:spacing w:line="560" w:lineRule="exact"/>
        <w:ind w:firstLine="640"/>
        <w:rPr>
          <w:rFonts w:hint="eastAsia" w:ascii="仿宋_GB2312" w:hAnsi="仿宋" w:eastAsia="仿宋_GB2312"/>
          <w:sz w:val="32"/>
          <w:szCs w:val="32"/>
        </w:rPr>
      </w:pPr>
      <w:r>
        <w:rPr>
          <w:rFonts w:hint="eastAsia" w:ascii="仿宋_GB2312" w:hAnsi="仿宋" w:eastAsia="仿宋_GB2312"/>
          <w:sz w:val="32"/>
          <w:szCs w:val="32"/>
        </w:rPr>
        <w:t xml:space="preserve">到</w:t>
      </w:r>
      <w:r>
        <w:rPr>
          <w:rFonts w:ascii="仿宋_GB2312" w:hAnsi="仿宋" w:eastAsia="仿宋_GB2312"/>
          <w:sz w:val="32"/>
          <w:szCs w:val="32"/>
        </w:rPr>
        <w:t xml:space="preserve">2020</w:t>
      </w:r>
      <w:r>
        <w:rPr>
          <w:rFonts w:hint="eastAsia" w:ascii="仿宋_GB2312" w:hAnsi="仿宋" w:eastAsia="仿宋_GB2312"/>
          <w:sz w:val="32"/>
          <w:szCs w:val="32"/>
        </w:rPr>
        <w:t xml:space="preserve">年，电力安全生产法律法规、制度、标准体系进一步优化完善；电力安全责任体系更加科学严密；电力安全监管体制机制进一步健全；电力安全技术水平和创新能力取得明显进步；电力安全保障能力进一步提高；安全文化建设进一步加强。杜绝重大以上电力人身伤亡责任事故、杜绝重大以上电力安全事故、杜绝电厂垮坝漫坝事故，防止主设备严重损坏事故、防止对社会造成重大影响事故，实现电力安全生产事故起数和伤亡人数进一步下降，确保电力系统安全稳定运行和电力可靠供应。</w:t>
      </w:r>
      <w:r>
        <w:rPr>
          <w:rFonts w:hint="eastAsia" w:ascii="仿宋_GB2312" w:hAnsi="仿宋" w:eastAsia="仿宋_GB2312"/>
          <w:sz w:val="32"/>
          <w:szCs w:val="32"/>
        </w:rPr>
      </w:r>
      <w:r>
        <w:rPr>
          <w:rFonts w:hint="eastAsia" w:ascii="仿宋_GB2312" w:hAnsi="仿宋" w:eastAsia="仿宋_GB2312"/>
          <w:sz w:val="32"/>
          <w:szCs w:val="32"/>
        </w:rPr>
      </w:r>
    </w:p>
    <w:p>
      <w:pPr>
        <w:pStyle w:val="633"/>
        <w:pBdr/>
        <w:spacing w:line="560" w:lineRule="exact"/>
        <w:ind w:firstLine="643"/>
        <w:outlineLvl w:val="0"/>
        <w:rPr>
          <w:rFonts w:hint="eastAsia" w:ascii="黑体" w:hAnsi="黑体" w:eastAsia="黑体"/>
          <w:b/>
          <w:bCs/>
          <w:sz w:val="32"/>
          <w:szCs w:val="32"/>
        </w:rPr>
      </w:pPr>
      <w:r>
        <w:rPr>
          <w:rFonts w:hint="eastAsia" w:ascii="黑体" w:hAnsi="黑体" w:eastAsia="黑体"/>
          <w:b/>
          <w:bCs/>
          <w:sz w:val="32"/>
          <w:szCs w:val="32"/>
        </w:rPr>
        <w:t xml:space="preserve">三、主要任务</w:t>
      </w:r>
      <w:r>
        <w:rPr>
          <w:rFonts w:hint="eastAsia" w:ascii="黑体" w:hAnsi="黑体" w:eastAsia="黑体"/>
          <w:b/>
          <w:bCs/>
          <w:sz w:val="32"/>
          <w:szCs w:val="32"/>
        </w:rPr>
      </w:r>
      <w:r>
        <w:rPr>
          <w:rFonts w:hint="eastAsia" w:ascii="黑体" w:hAnsi="黑体" w:eastAsia="黑体"/>
          <w:b/>
          <w:bCs/>
          <w:sz w:val="32"/>
          <w:szCs w:val="32"/>
        </w:rPr>
      </w:r>
    </w:p>
    <w:p>
      <w:pPr>
        <w:pStyle w:val="633"/>
        <w:pBdr/>
        <w:spacing w:line="560" w:lineRule="exact"/>
        <w:ind w:firstLine="643"/>
        <w:outlineLvl w:val="1"/>
        <w:rPr>
          <w:rFonts w:ascii="楷体" w:hAnsi="楷体" w:eastAsia="楷体"/>
          <w:b/>
          <w:bCs/>
          <w:sz w:val="32"/>
          <w:szCs w:val="32"/>
        </w:rPr>
      </w:pPr>
      <w:r>
        <w:rPr>
          <w:rFonts w:hint="eastAsia" w:ascii="楷体" w:hAnsi="楷体" w:eastAsia="楷体"/>
          <w:b/>
          <w:bCs/>
          <w:sz w:val="32"/>
          <w:szCs w:val="32"/>
        </w:rPr>
        <w:t xml:space="preserve">（一）防范人身安全事故</w:t>
      </w:r>
      <w:r>
        <w:rPr>
          <w:rFonts w:ascii="楷体" w:hAnsi="楷体" w:eastAsia="楷体"/>
          <w:b/>
          <w:bCs/>
          <w:sz w:val="32"/>
          <w:szCs w:val="32"/>
        </w:rPr>
      </w:r>
      <w:r>
        <w:rPr>
          <w:rFonts w:ascii="楷体" w:hAnsi="楷体" w:eastAsia="楷体"/>
          <w:b/>
          <w:bCs/>
          <w:sz w:val="32"/>
          <w:szCs w:val="32"/>
        </w:rPr>
      </w:r>
    </w:p>
    <w:p>
      <w:pPr>
        <w:pStyle w:val="633"/>
        <w:pBdr/>
        <w:spacing w:line="560" w:lineRule="exact"/>
        <w:ind w:firstLine="643"/>
        <w:outlineLvl w:val="2"/>
        <w:rPr>
          <w:rFonts w:ascii="仿宋_GB2312" w:hAnsi="仿宋" w:eastAsia="仿宋_GB2312"/>
          <w:b/>
          <w:bCs/>
          <w:sz w:val="32"/>
          <w:szCs w:val="32"/>
        </w:rPr>
      </w:pPr>
      <w:r>
        <w:rPr>
          <w:rFonts w:ascii="仿宋_GB2312" w:hAnsi="仿宋" w:eastAsia="仿宋_GB2312"/>
          <w:b/>
          <w:bCs/>
          <w:sz w:val="32"/>
          <w:szCs w:val="32"/>
        </w:rPr>
        <w:t xml:space="preserve">1.</w:t>
      </w:r>
      <w:r>
        <w:rPr>
          <w:rFonts w:hint="eastAsia" w:ascii="仿宋_GB2312" w:hAnsi="仿宋" w:eastAsia="仿宋_GB2312"/>
          <w:b/>
          <w:bCs/>
          <w:sz w:val="32"/>
          <w:szCs w:val="32"/>
        </w:rPr>
        <w:t xml:space="preserve">牢固树立自觉安全行为意识</w:t>
      </w:r>
      <w:r>
        <w:rPr>
          <w:rFonts w:ascii="仿宋_GB2312" w:hAnsi="仿宋" w:eastAsia="仿宋_GB2312"/>
          <w:b/>
          <w:bCs/>
          <w:sz w:val="32"/>
          <w:szCs w:val="32"/>
        </w:rPr>
      </w:r>
      <w:r>
        <w:rPr>
          <w:rFonts w:ascii="仿宋_GB2312" w:hAnsi="仿宋" w:eastAsia="仿宋_GB2312"/>
          <w:b/>
          <w:bCs/>
          <w:sz w:val="32"/>
          <w:szCs w:val="32"/>
        </w:rPr>
      </w:r>
    </w:p>
    <w:p>
      <w:pPr>
        <w:pStyle w:val="633"/>
        <w:pBdr/>
        <w:spacing w:line="560" w:lineRule="exact"/>
        <w:ind w:firstLine="640"/>
        <w:rPr>
          <w:rFonts w:ascii="仿宋_GB2312" w:hAnsi="仿宋" w:eastAsia="仿宋_GB2312"/>
          <w:sz w:val="32"/>
          <w:szCs w:val="32"/>
        </w:rPr>
      </w:pPr>
      <w:r>
        <w:rPr>
          <w:rFonts w:hint="eastAsia" w:ascii="仿宋_GB2312" w:hAnsi="仿宋" w:eastAsia="仿宋_GB2312"/>
          <w:sz w:val="32"/>
          <w:szCs w:val="32"/>
        </w:rPr>
        <w:t xml:space="preserve">加强安全文化引导、安全奖惩激励、从业约束等管理，提高从业者对安全的敬畏意识，实现“要我安全”到“我要安全”的转变，使“安全是自身需要”成为主旋律，“我要安全”成为从业者自身一致的追求。</w:t>
      </w:r>
      <w:r>
        <w:rPr>
          <w:rFonts w:ascii="仿宋_GB2312" w:hAnsi="仿宋" w:eastAsia="仿宋_GB2312"/>
          <w:sz w:val="32"/>
          <w:szCs w:val="32"/>
        </w:rPr>
      </w:r>
      <w:r>
        <w:rPr>
          <w:rFonts w:ascii="仿宋_GB2312" w:hAnsi="仿宋" w:eastAsia="仿宋_GB2312"/>
          <w:sz w:val="32"/>
          <w:szCs w:val="32"/>
        </w:rPr>
      </w:r>
    </w:p>
    <w:p>
      <w:pPr>
        <w:pStyle w:val="633"/>
        <w:pBdr/>
        <w:spacing w:line="560" w:lineRule="exact"/>
        <w:ind w:firstLine="643"/>
        <w:outlineLvl w:val="2"/>
        <w:rPr>
          <w:rFonts w:ascii="仿宋_GB2312" w:hAnsi="仿宋" w:eastAsia="仿宋_GB2312"/>
          <w:b/>
          <w:bCs/>
          <w:sz w:val="32"/>
          <w:szCs w:val="32"/>
        </w:rPr>
      </w:pPr>
      <w:r>
        <w:rPr>
          <w:rFonts w:ascii="仿宋_GB2312" w:hAnsi="仿宋" w:eastAsia="仿宋_GB2312"/>
          <w:b/>
          <w:bCs/>
          <w:sz w:val="32"/>
          <w:szCs w:val="32"/>
        </w:rPr>
        <w:t xml:space="preserve">2.</w:t>
      </w:r>
      <w:r>
        <w:rPr>
          <w:rFonts w:hint="eastAsia" w:ascii="仿宋_GB2312" w:hAnsi="仿宋" w:eastAsia="仿宋_GB2312"/>
          <w:b/>
          <w:bCs/>
          <w:sz w:val="32"/>
          <w:szCs w:val="32"/>
        </w:rPr>
        <w:t xml:space="preserve">提升安全防护技能</w:t>
      </w:r>
      <w:r>
        <w:rPr>
          <w:rFonts w:ascii="仿宋_GB2312" w:hAnsi="仿宋" w:eastAsia="仿宋_GB2312"/>
          <w:b/>
          <w:bCs/>
          <w:sz w:val="32"/>
          <w:szCs w:val="32"/>
        </w:rPr>
      </w:r>
      <w:r>
        <w:rPr>
          <w:rFonts w:ascii="仿宋_GB2312" w:hAnsi="仿宋" w:eastAsia="仿宋_GB2312"/>
          <w:b/>
          <w:bCs/>
          <w:sz w:val="32"/>
          <w:szCs w:val="32"/>
        </w:rPr>
      </w:r>
    </w:p>
    <w:p>
      <w:pPr>
        <w:pStyle w:val="633"/>
        <w:pBdr/>
        <w:spacing w:line="560" w:lineRule="exact"/>
        <w:ind w:firstLine="640"/>
        <w:rPr>
          <w:rFonts w:ascii="仿宋_GB2312" w:hAnsi="仿宋" w:eastAsia="仿宋_GB2312"/>
          <w:sz w:val="32"/>
          <w:szCs w:val="32"/>
        </w:rPr>
      </w:pPr>
      <w:r>
        <w:rPr>
          <w:rFonts w:hint="eastAsia" w:ascii="仿宋_GB2312" w:hAnsi="仿宋" w:eastAsia="仿宋_GB2312"/>
          <w:sz w:val="32"/>
          <w:szCs w:val="32"/>
        </w:rPr>
        <w:t xml:space="preserve">制订并发布电力行业安全基础培训导则，强化从业人员安全技能培训；加强安全培训基础建设，保证培训资源投入，依法培训、按需施教；定期开展岗位安全操作规程和安全操作技能教育培训，加大安全技能实操训练力度；创新安全培训方式方法，积极融合现代信息技术，开展安全体感实训; 创建基建、生产（检修、运行等）诸方面的数字化安全监督管理体系和平台。</w:t>
      </w:r>
      <w:r>
        <w:rPr>
          <w:rFonts w:ascii="仿宋_GB2312" w:hAnsi="仿宋" w:eastAsia="仿宋_GB2312"/>
          <w:sz w:val="32"/>
          <w:szCs w:val="32"/>
        </w:rPr>
      </w:r>
      <w:r>
        <w:rPr>
          <w:rFonts w:ascii="仿宋_GB2312" w:hAnsi="仿宋" w:eastAsia="仿宋_GB2312"/>
          <w:sz w:val="32"/>
          <w:szCs w:val="32"/>
        </w:rPr>
      </w:r>
    </w:p>
    <w:p>
      <w:pPr>
        <w:pStyle w:val="633"/>
        <w:pBdr/>
        <w:spacing w:line="560" w:lineRule="exact"/>
        <w:ind w:firstLine="643"/>
        <w:outlineLvl w:val="2"/>
        <w:rPr>
          <w:rFonts w:ascii="仿宋_GB2312" w:hAnsi="仿宋" w:eastAsia="仿宋_GB2312"/>
          <w:b/>
          <w:bCs/>
          <w:sz w:val="32"/>
          <w:szCs w:val="32"/>
        </w:rPr>
      </w:pPr>
      <w:r>
        <w:rPr>
          <w:rFonts w:ascii="仿宋_GB2312" w:hAnsi="仿宋" w:eastAsia="仿宋_GB2312"/>
          <w:b/>
          <w:bCs/>
          <w:sz w:val="32"/>
          <w:szCs w:val="32"/>
        </w:rPr>
        <w:t xml:space="preserve">3.</w:t>
      </w:r>
      <w:r>
        <w:rPr>
          <w:rFonts w:hint="eastAsia" w:ascii="仿宋_GB2312" w:hAnsi="仿宋" w:eastAsia="仿宋_GB2312"/>
          <w:b/>
          <w:bCs/>
          <w:sz w:val="32"/>
          <w:szCs w:val="32"/>
        </w:rPr>
        <w:t xml:space="preserve">建立完善安全生产环境</w:t>
      </w:r>
      <w:r>
        <w:rPr>
          <w:rFonts w:ascii="仿宋_GB2312" w:hAnsi="仿宋" w:eastAsia="仿宋_GB2312"/>
          <w:b/>
          <w:bCs/>
          <w:sz w:val="32"/>
          <w:szCs w:val="32"/>
        </w:rPr>
      </w:r>
      <w:r>
        <w:rPr>
          <w:rFonts w:ascii="仿宋_GB2312" w:hAnsi="仿宋" w:eastAsia="仿宋_GB2312"/>
          <w:b/>
          <w:bCs/>
          <w:sz w:val="32"/>
          <w:szCs w:val="32"/>
        </w:rPr>
      </w:r>
    </w:p>
    <w:p>
      <w:pPr>
        <w:pStyle w:val="633"/>
        <w:pBdr/>
        <w:spacing w:line="560" w:lineRule="exact"/>
        <w:ind w:firstLine="640"/>
        <w:rPr>
          <w:rFonts w:ascii="仿宋_GB2312" w:hAnsi="仿宋" w:eastAsia="仿宋_GB2312"/>
          <w:sz w:val="32"/>
          <w:szCs w:val="32"/>
        </w:rPr>
      </w:pPr>
      <w:r>
        <w:rPr>
          <w:rFonts w:hint="eastAsia" w:ascii="仿宋_GB2312" w:hAnsi="仿宋" w:eastAsia="仿宋_GB2312"/>
          <w:sz w:val="32"/>
          <w:szCs w:val="32"/>
        </w:rPr>
        <w:t xml:space="preserve">积极建立安全风险管控体系，广泛开展安全风险分类分级管理；强化隐患排查治理机制，完善安全隐患分级和排查治理标准；加强安全生产标准化建设，提高安全设备设施、技术装备、施工环境安全水平；建立安全生产标准化动态考评机制，提升安全生产保障能力；推进安全生产诚信体系建设，建立安全失信惩戒和安全守信激励机制；完善企业安全生产不良记录制度，不断强化作业环境的安全。</w:t>
      </w:r>
      <w:r>
        <w:rPr>
          <w:rFonts w:ascii="仿宋_GB2312" w:hAnsi="仿宋" w:eastAsia="仿宋_GB2312"/>
          <w:sz w:val="32"/>
          <w:szCs w:val="32"/>
        </w:rPr>
      </w:r>
      <w:r>
        <w:rPr>
          <w:rFonts w:ascii="仿宋_GB2312" w:hAnsi="仿宋" w:eastAsia="仿宋_GB2312"/>
          <w:sz w:val="32"/>
          <w:szCs w:val="32"/>
        </w:rPr>
      </w:r>
    </w:p>
    <w:p>
      <w:pPr>
        <w:pStyle w:val="633"/>
        <w:pBdr/>
        <w:spacing w:line="560" w:lineRule="exact"/>
        <w:ind w:firstLine="643"/>
        <w:outlineLvl w:val="2"/>
        <w:rPr>
          <w:rFonts w:ascii="仿宋_GB2312" w:hAnsi="仿宋" w:eastAsia="仿宋_GB2312"/>
          <w:b/>
          <w:bCs/>
          <w:sz w:val="32"/>
          <w:szCs w:val="32"/>
        </w:rPr>
      </w:pPr>
      <w:r>
        <w:rPr>
          <w:rFonts w:ascii="仿宋_GB2312" w:hAnsi="仿宋" w:eastAsia="仿宋_GB2312"/>
          <w:b/>
          <w:bCs/>
          <w:sz w:val="32"/>
          <w:szCs w:val="32"/>
        </w:rPr>
        <w:t xml:space="preserve">4.</w:t>
      </w:r>
      <w:r>
        <w:rPr>
          <w:rFonts w:hint="eastAsia" w:ascii="仿宋_GB2312" w:hAnsi="仿宋" w:eastAsia="仿宋_GB2312"/>
          <w:b/>
          <w:bCs/>
          <w:sz w:val="32"/>
          <w:szCs w:val="32"/>
        </w:rPr>
        <w:t xml:space="preserve">强化管理严禁不安全行为</w:t>
      </w:r>
      <w:r>
        <w:rPr>
          <w:rFonts w:ascii="仿宋_GB2312" w:hAnsi="仿宋" w:eastAsia="仿宋_GB2312"/>
          <w:b/>
          <w:bCs/>
          <w:sz w:val="32"/>
          <w:szCs w:val="32"/>
        </w:rPr>
      </w:r>
      <w:r>
        <w:rPr>
          <w:rFonts w:ascii="仿宋_GB2312" w:hAnsi="仿宋" w:eastAsia="仿宋_GB2312"/>
          <w:b/>
          <w:bCs/>
          <w:sz w:val="32"/>
          <w:szCs w:val="32"/>
        </w:rPr>
      </w:r>
    </w:p>
    <w:p>
      <w:pPr>
        <w:pStyle w:val="633"/>
        <w:pBdr/>
        <w:spacing w:line="560" w:lineRule="exact"/>
        <w:ind w:firstLine="640"/>
        <w:rPr>
          <w:rFonts w:ascii="仿宋_GB2312" w:hAnsi="仿宋" w:eastAsia="仿宋_GB2312"/>
          <w:sz w:val="32"/>
          <w:szCs w:val="32"/>
        </w:rPr>
      </w:pPr>
      <w:r>
        <w:rPr>
          <w:rFonts w:hint="eastAsia" w:ascii="仿宋_GB2312" w:hAnsi="仿宋" w:eastAsia="仿宋_GB2312"/>
          <w:sz w:val="32"/>
          <w:szCs w:val="32"/>
        </w:rPr>
        <w:t xml:space="preserve">健全现场安全检查制度，规范现场作业管理，落实现场安全措施；及时制止管理性违章、指挥性违章、装置性违章和作业性违章等不安全行为；建设工程坚持合理工期，严禁压缩工期；施工从业人员安全防护措施达标；实施安全风险分析未落实不开工制度，严禁盲目和随意性作业。</w:t>
      </w:r>
      <w:r>
        <w:rPr>
          <w:rFonts w:ascii="仿宋_GB2312" w:hAnsi="仿宋" w:eastAsia="仿宋_GB2312"/>
          <w:sz w:val="32"/>
          <w:szCs w:val="32"/>
        </w:rPr>
      </w:r>
      <w:r>
        <w:rPr>
          <w:rFonts w:ascii="仿宋_GB2312" w:hAnsi="仿宋" w:eastAsia="仿宋_GB2312"/>
          <w:sz w:val="32"/>
          <w:szCs w:val="32"/>
        </w:rPr>
      </w:r>
    </w:p>
    <w:p>
      <w:pPr>
        <w:pStyle w:val="633"/>
        <w:pBdr/>
        <w:spacing w:line="560" w:lineRule="exact"/>
        <w:ind w:firstLine="643"/>
        <w:outlineLvl w:val="2"/>
        <w:rPr>
          <w:rFonts w:ascii="仿宋_GB2312" w:hAnsi="仿宋" w:eastAsia="仿宋_GB2312"/>
          <w:b/>
          <w:bCs/>
          <w:sz w:val="32"/>
          <w:szCs w:val="32"/>
        </w:rPr>
      </w:pPr>
      <w:r>
        <w:rPr>
          <w:rFonts w:ascii="仿宋_GB2312" w:hAnsi="仿宋" w:eastAsia="仿宋_GB2312"/>
          <w:b/>
          <w:bCs/>
          <w:sz w:val="32"/>
          <w:szCs w:val="32"/>
        </w:rPr>
        <w:t xml:space="preserve">5.</w:t>
      </w:r>
      <w:r>
        <w:rPr>
          <w:rFonts w:hint="eastAsia" w:ascii="仿宋_GB2312" w:hAnsi="仿宋" w:eastAsia="仿宋_GB2312"/>
          <w:b/>
          <w:bCs/>
          <w:sz w:val="32"/>
          <w:szCs w:val="32"/>
        </w:rPr>
        <w:t xml:space="preserve">强化基建人身安全管控</w:t>
      </w:r>
      <w:r>
        <w:rPr>
          <w:rFonts w:ascii="仿宋_GB2312" w:hAnsi="仿宋" w:eastAsia="仿宋_GB2312"/>
          <w:b/>
          <w:bCs/>
          <w:sz w:val="32"/>
          <w:szCs w:val="32"/>
        </w:rPr>
      </w:r>
      <w:r>
        <w:rPr>
          <w:rFonts w:ascii="仿宋_GB2312" w:hAnsi="仿宋" w:eastAsia="仿宋_GB2312"/>
          <w:b/>
          <w:bCs/>
          <w:sz w:val="32"/>
          <w:szCs w:val="32"/>
        </w:rPr>
      </w:r>
    </w:p>
    <w:p>
      <w:pPr>
        <w:pStyle w:val="633"/>
        <w:pBdr/>
        <w:spacing w:line="560" w:lineRule="exact"/>
        <w:ind w:firstLine="640"/>
        <w:rPr>
          <w:rFonts w:ascii="仿宋_GB2312" w:hAnsi="仿宋" w:eastAsia="仿宋_GB2312"/>
          <w:sz w:val="32"/>
          <w:szCs w:val="32"/>
        </w:rPr>
      </w:pPr>
      <w:r>
        <w:rPr>
          <w:rFonts w:hint="eastAsia" w:ascii="仿宋_GB2312" w:hAnsi="仿宋" w:eastAsia="仿宋_GB2312"/>
          <w:sz w:val="32"/>
          <w:szCs w:val="32"/>
        </w:rPr>
        <w:t xml:space="preserve">建立工程项目安全风</w:t>
      </w:r>
      <w:r>
        <w:rPr>
          <w:rFonts w:hint="eastAsia" w:ascii="仿宋_GB2312" w:hAnsi="仿宋" w:eastAsia="仿宋_GB2312"/>
          <w:sz w:val="32"/>
          <w:szCs w:val="32"/>
        </w:rPr>
        <w:t xml:space="preserve">险分析制度；编制工程项目安全风险管控方案；明确基建工程开工前必须具备的安全条件；开展基建工程过程风险评估，对可能造成群伤群亡的高风险作业，实施风险预警管控；对特殊或重大风险项目的施工方案，要进行严格安全论证；强化建设、勘察、设计、施工和工程监理安全责任；对关键施工节点，提前发布预警通知，对安全风险较大工程节点实施安全监护，施工、监理、项目单位管理人员要到现场旁站督导；强化外包工程管理，将承包单位纳入企业安全管理体系，严禁以包代管、只包不管；充分运用在线监控和互联网技术，实现对工程全覆盖实时监控和信息化管理。</w:t>
      </w:r>
      <w:r>
        <w:rPr>
          <w:rFonts w:ascii="仿宋_GB2312" w:hAnsi="仿宋" w:eastAsia="仿宋_GB2312"/>
          <w:sz w:val="32"/>
          <w:szCs w:val="32"/>
        </w:rPr>
      </w:r>
      <w:r>
        <w:rPr>
          <w:rFonts w:ascii="仿宋_GB2312" w:hAnsi="仿宋" w:eastAsia="仿宋_GB2312"/>
          <w:sz w:val="32"/>
          <w:szCs w:val="32"/>
        </w:rPr>
      </w:r>
    </w:p>
    <w:p>
      <w:pPr>
        <w:pStyle w:val="633"/>
        <w:pBdr/>
        <w:spacing w:line="560" w:lineRule="exact"/>
        <w:ind w:firstLine="643"/>
        <w:outlineLvl w:val="1"/>
        <w:rPr>
          <w:rFonts w:ascii="楷体" w:hAnsi="楷体" w:eastAsia="楷体"/>
          <w:b/>
          <w:sz w:val="32"/>
          <w:szCs w:val="32"/>
        </w:rPr>
      </w:pPr>
      <w:r>
        <w:rPr>
          <w:rFonts w:ascii="楷体" w:hAnsi="楷体" w:eastAsia="楷体"/>
          <w:b/>
          <w:bCs/>
          <w:sz w:val="32"/>
          <w:szCs w:val="32"/>
        </w:rPr>
        <w:fldChar w:fldCharType="begin"/>
      </w:r>
      <w:r>
        <w:rPr>
          <w:rFonts w:ascii="楷体" w:hAnsi="楷体" w:eastAsia="楷体"/>
          <w:b/>
          <w:bCs/>
          <w:sz w:val="32"/>
          <w:szCs w:val="32"/>
        </w:rPr>
        <w:instrText xml:space="preserve">HYPERLINK  \l "_Toc476481315" </w:instrText>
      </w:r>
      <w:r>
        <w:rPr>
          <w:rFonts w:ascii="楷体" w:hAnsi="楷体" w:eastAsia="楷体"/>
          <w:b/>
          <w:bCs/>
          <w:sz w:val="32"/>
          <w:szCs w:val="32"/>
        </w:rPr>
        <w:fldChar w:fldCharType="separate"/>
      </w:r>
      <w:r>
        <w:rPr>
          <w:rFonts w:hint="eastAsia" w:ascii="楷体" w:hAnsi="楷体" w:eastAsia="楷体"/>
          <w:b/>
          <w:bCs/>
          <w:sz w:val="32"/>
          <w:szCs w:val="32"/>
        </w:rPr>
        <w:t xml:space="preserve">（二）防范电网安全事故</w:t>
      </w:r>
      <w:r>
        <w:rPr>
          <w:rFonts w:ascii="楷体" w:hAnsi="楷体" w:eastAsia="楷体"/>
          <w:b/>
          <w:bCs/>
          <w:sz w:val="32"/>
          <w:szCs w:val="32"/>
        </w:rPr>
        <w:fldChar w:fldCharType="end"/>
      </w:r>
      <w:r>
        <w:rPr>
          <w:rFonts w:ascii="楷体" w:hAnsi="楷体" w:eastAsia="楷体"/>
          <w:b/>
          <w:sz w:val="32"/>
          <w:szCs w:val="32"/>
        </w:rPr>
      </w:r>
      <w:r>
        <w:rPr>
          <w:rFonts w:ascii="楷体" w:hAnsi="楷体" w:eastAsia="楷体"/>
          <w:b/>
          <w:sz w:val="32"/>
          <w:szCs w:val="32"/>
        </w:rPr>
      </w:r>
    </w:p>
    <w:p>
      <w:pPr>
        <w:pStyle w:val="633"/>
        <w:pBdr/>
        <w:spacing w:line="560" w:lineRule="exact"/>
        <w:ind w:firstLine="643"/>
        <w:outlineLvl w:val="2"/>
        <w:rPr>
          <w:rFonts w:ascii="仿宋_GB2312" w:hAnsi="仿宋" w:eastAsia="仿宋_GB2312"/>
          <w:b/>
          <w:bCs/>
          <w:sz w:val="32"/>
          <w:szCs w:val="32"/>
        </w:rPr>
      </w:pPr>
      <w:r>
        <w:rPr>
          <w:rFonts w:ascii="仿宋_GB2312" w:hAnsi="仿宋" w:eastAsia="仿宋_GB2312"/>
          <w:b/>
          <w:bCs/>
          <w:sz w:val="32"/>
          <w:szCs w:val="32"/>
        </w:rPr>
        <w:t xml:space="preserve">1.</w:t>
      </w:r>
      <w:r>
        <w:rPr>
          <w:rFonts w:hint="eastAsia" w:ascii="仿宋_GB2312" w:hAnsi="仿宋" w:eastAsia="仿宋_GB2312"/>
          <w:b/>
          <w:bCs/>
          <w:sz w:val="32"/>
          <w:szCs w:val="32"/>
        </w:rPr>
        <w:t xml:space="preserve">加强电力系统规划</w:t>
      </w:r>
      <w:r>
        <w:rPr>
          <w:rFonts w:ascii="仿宋_GB2312" w:hAnsi="仿宋" w:eastAsia="仿宋_GB2312"/>
          <w:b/>
          <w:bCs/>
          <w:sz w:val="32"/>
          <w:szCs w:val="32"/>
        </w:rPr>
      </w:r>
      <w:r>
        <w:rPr>
          <w:rFonts w:ascii="仿宋_GB2312" w:hAnsi="仿宋" w:eastAsia="仿宋_GB2312"/>
          <w:b/>
          <w:bCs/>
          <w:sz w:val="32"/>
          <w:szCs w:val="32"/>
        </w:rPr>
      </w:r>
    </w:p>
    <w:p>
      <w:pPr>
        <w:pStyle w:val="633"/>
        <w:pBdr/>
        <w:spacing w:line="560" w:lineRule="exact"/>
        <w:ind w:firstLine="640"/>
        <w:rPr>
          <w:rFonts w:ascii="仿宋_GB2312" w:hAnsi="仿宋" w:eastAsia="仿宋_GB2312"/>
          <w:sz w:val="32"/>
          <w:szCs w:val="32"/>
        </w:rPr>
      </w:pPr>
      <w:r>
        <w:rPr>
          <w:rFonts w:hint="eastAsia" w:ascii="仿宋_GB2312" w:hAnsi="仿宋" w:eastAsia="仿宋_GB2312"/>
          <w:sz w:val="32"/>
          <w:szCs w:val="32"/>
        </w:rPr>
        <w:t xml:space="preserve">统筹电源、电网、用电的发展规划和建设时序，统一标准、强简有序、远近结合、协调发展；构建科学合理的电网结构，提高消纳新能源发电能力，完善电网安全综合防御体系。</w:t>
      </w:r>
      <w:r>
        <w:rPr>
          <w:rFonts w:ascii="仿宋_GB2312" w:hAnsi="仿宋" w:eastAsia="仿宋_GB2312"/>
          <w:sz w:val="32"/>
          <w:szCs w:val="32"/>
        </w:rPr>
      </w:r>
      <w:r>
        <w:rPr>
          <w:rFonts w:ascii="仿宋_GB2312" w:hAnsi="仿宋" w:eastAsia="仿宋_GB2312"/>
          <w:sz w:val="32"/>
          <w:szCs w:val="32"/>
        </w:rPr>
      </w:r>
    </w:p>
    <w:p>
      <w:pPr>
        <w:pStyle w:val="633"/>
        <w:pBdr/>
        <w:spacing w:line="560" w:lineRule="exact"/>
        <w:ind w:firstLine="643"/>
        <w:outlineLvl w:val="2"/>
        <w:rPr>
          <w:rFonts w:ascii="仿宋_GB2312" w:hAnsi="仿宋" w:eastAsia="仿宋_GB2312"/>
          <w:b/>
          <w:bCs/>
          <w:sz w:val="32"/>
          <w:szCs w:val="32"/>
        </w:rPr>
      </w:pPr>
      <w:r>
        <w:rPr>
          <w:rFonts w:ascii="仿宋_GB2312" w:hAnsi="仿宋" w:eastAsia="仿宋_GB2312"/>
          <w:b/>
          <w:bCs/>
          <w:sz w:val="32"/>
          <w:szCs w:val="32"/>
        </w:rPr>
        <w:t xml:space="preserve">2.</w:t>
      </w:r>
      <w:r>
        <w:rPr>
          <w:rFonts w:hint="eastAsia" w:ascii="仿宋_GB2312" w:hAnsi="仿宋" w:eastAsia="仿宋_GB2312"/>
          <w:b/>
          <w:bCs/>
          <w:sz w:val="32"/>
          <w:szCs w:val="32"/>
        </w:rPr>
        <w:t xml:space="preserve">加快电网建设</w:t>
      </w:r>
      <w:r>
        <w:rPr>
          <w:rFonts w:ascii="仿宋_GB2312" w:hAnsi="仿宋" w:eastAsia="仿宋_GB2312"/>
          <w:b/>
          <w:bCs/>
          <w:sz w:val="32"/>
          <w:szCs w:val="32"/>
        </w:rPr>
      </w:r>
      <w:r>
        <w:rPr>
          <w:rFonts w:ascii="仿宋_GB2312" w:hAnsi="仿宋" w:eastAsia="仿宋_GB2312"/>
          <w:b/>
          <w:bCs/>
          <w:sz w:val="32"/>
          <w:szCs w:val="32"/>
        </w:rPr>
      </w:r>
    </w:p>
    <w:p>
      <w:pPr>
        <w:pStyle w:val="633"/>
        <w:pBdr/>
        <w:spacing w:line="560" w:lineRule="exact"/>
        <w:ind w:firstLine="640"/>
        <w:rPr>
          <w:rFonts w:ascii="仿宋_GB2312" w:hAnsi="仿宋" w:eastAsia="仿宋_GB2312"/>
          <w:sz w:val="32"/>
          <w:szCs w:val="32"/>
        </w:rPr>
      </w:pPr>
      <w:r>
        <w:rPr>
          <w:rFonts w:hint="eastAsia" w:ascii="仿宋_GB2312" w:hAnsi="仿宋" w:eastAsia="仿宋_GB2312"/>
          <w:sz w:val="32"/>
          <w:szCs w:val="32"/>
        </w:rPr>
        <w:t xml:space="preserve">统筹推进主网架建设，实现各电压等级电网有机衔接、协调发展；加快特高压骨干网架和坚强智能电网建设，完善</w:t>
      </w:r>
      <w:r>
        <w:rPr>
          <w:rFonts w:ascii="仿宋_GB2312" w:hAnsi="仿宋" w:eastAsia="仿宋_GB2312"/>
          <w:sz w:val="32"/>
          <w:szCs w:val="32"/>
        </w:rPr>
        <w:t xml:space="preserve">500</w:t>
      </w:r>
      <w:r>
        <w:rPr>
          <w:rFonts w:hint="eastAsia" w:ascii="仿宋_GB2312" w:hAnsi="仿宋" w:eastAsia="仿宋_GB2312"/>
          <w:sz w:val="32"/>
          <w:szCs w:val="32"/>
        </w:rPr>
        <w:t xml:space="preserve">千伏及以上骨干网架，补强</w:t>
      </w:r>
      <w:r>
        <w:rPr>
          <w:rFonts w:ascii="仿宋_GB2312" w:hAnsi="仿宋" w:eastAsia="仿宋_GB2312"/>
          <w:sz w:val="32"/>
          <w:szCs w:val="32"/>
        </w:rPr>
        <w:t xml:space="preserve">220</w:t>
      </w:r>
      <w:r>
        <w:rPr>
          <w:rFonts w:hint="eastAsia" w:ascii="仿宋_GB2312" w:hAnsi="仿宋" w:eastAsia="仿宋_GB2312"/>
          <w:sz w:val="32"/>
          <w:szCs w:val="32"/>
        </w:rPr>
        <w:t xml:space="preserve">千伏薄弱网架；加大配电网建设，推进农网改造升级工程及微电网建设。</w:t>
      </w:r>
      <w:r>
        <w:rPr>
          <w:rFonts w:ascii="仿宋_GB2312" w:hAnsi="仿宋" w:eastAsia="仿宋_GB2312"/>
          <w:sz w:val="32"/>
          <w:szCs w:val="32"/>
        </w:rPr>
      </w:r>
      <w:r>
        <w:rPr>
          <w:rFonts w:ascii="仿宋_GB2312" w:hAnsi="仿宋" w:eastAsia="仿宋_GB2312"/>
          <w:sz w:val="32"/>
          <w:szCs w:val="32"/>
        </w:rPr>
      </w:r>
    </w:p>
    <w:p>
      <w:pPr>
        <w:pStyle w:val="633"/>
        <w:pBdr/>
        <w:spacing w:line="560" w:lineRule="exact"/>
        <w:ind w:firstLine="643"/>
        <w:outlineLvl w:val="2"/>
        <w:rPr>
          <w:rFonts w:ascii="仿宋_GB2312" w:hAnsi="仿宋" w:eastAsia="仿宋_GB2312"/>
          <w:b/>
          <w:bCs/>
          <w:sz w:val="32"/>
          <w:szCs w:val="32"/>
        </w:rPr>
      </w:pPr>
      <w:r>
        <w:rPr>
          <w:rFonts w:ascii="仿宋_GB2312" w:hAnsi="仿宋" w:eastAsia="仿宋_GB2312"/>
          <w:b/>
          <w:bCs/>
          <w:sz w:val="32"/>
          <w:szCs w:val="32"/>
        </w:rPr>
        <w:t xml:space="preserve">3.</w:t>
      </w:r>
      <w:r>
        <w:rPr>
          <w:rFonts w:hint="eastAsia" w:ascii="仿宋_GB2312" w:hAnsi="仿宋" w:eastAsia="仿宋_GB2312"/>
          <w:b/>
          <w:bCs/>
          <w:sz w:val="32"/>
          <w:szCs w:val="32"/>
        </w:rPr>
        <w:t xml:space="preserve">加强电网运行管理</w:t>
      </w:r>
      <w:r>
        <w:rPr>
          <w:rFonts w:ascii="仿宋_GB2312" w:hAnsi="仿宋" w:eastAsia="仿宋_GB2312"/>
          <w:b/>
          <w:bCs/>
          <w:sz w:val="32"/>
          <w:szCs w:val="32"/>
        </w:rPr>
      </w:r>
      <w:r>
        <w:rPr>
          <w:rFonts w:ascii="仿宋_GB2312" w:hAnsi="仿宋" w:eastAsia="仿宋_GB2312"/>
          <w:b/>
          <w:bCs/>
          <w:sz w:val="32"/>
          <w:szCs w:val="32"/>
        </w:rPr>
      </w:r>
    </w:p>
    <w:p>
      <w:pPr>
        <w:pStyle w:val="633"/>
        <w:pBdr/>
        <w:spacing w:line="560" w:lineRule="exact"/>
        <w:ind w:firstLine="640"/>
        <w:rPr>
          <w:rFonts w:ascii="仿宋_GB2312" w:hAnsi="仿宋" w:eastAsia="仿宋_GB2312"/>
          <w:sz w:val="32"/>
          <w:szCs w:val="32"/>
        </w:rPr>
      </w:pPr>
      <w:r>
        <w:rPr>
          <w:rFonts w:hint="eastAsia" w:ascii="仿宋_GB2312" w:hAnsi="仿宋" w:eastAsia="仿宋_GB2312"/>
          <w:sz w:val="32"/>
          <w:szCs w:val="32"/>
        </w:rPr>
        <w:t xml:space="preserve">深入研究交直流交互、多直流馈入、电磁环网、大规模新能源接入对电网安全的影响；持续完善“三道防线”；提高调度计划的多时段多层级协调配合和安全校核，提升电网安全预防控制水平；开展电网反事故演习，提高大面积停电事故防范和应急处置能力；加强电网防灾抗灾等安全设备研制，为各级电网运行提供有力支撑。</w:t>
      </w:r>
      <w:r>
        <w:rPr>
          <w:rFonts w:ascii="仿宋_GB2312" w:hAnsi="仿宋" w:eastAsia="仿宋_GB2312"/>
          <w:sz w:val="32"/>
          <w:szCs w:val="32"/>
        </w:rPr>
      </w:r>
      <w:r>
        <w:rPr>
          <w:rFonts w:ascii="仿宋_GB2312" w:hAnsi="仿宋" w:eastAsia="仿宋_GB2312"/>
          <w:sz w:val="32"/>
          <w:szCs w:val="32"/>
        </w:rPr>
      </w:r>
    </w:p>
    <w:p>
      <w:pPr>
        <w:pStyle w:val="633"/>
        <w:pBdr/>
        <w:spacing w:line="560" w:lineRule="exact"/>
        <w:ind w:firstLine="643"/>
        <w:outlineLvl w:val="2"/>
        <w:rPr>
          <w:rFonts w:ascii="仿宋_GB2312" w:hAnsi="仿宋" w:eastAsia="仿宋_GB2312"/>
          <w:b/>
          <w:bCs/>
          <w:sz w:val="32"/>
          <w:szCs w:val="32"/>
        </w:rPr>
      </w:pPr>
      <w:r>
        <w:rPr>
          <w:rFonts w:ascii="仿宋_GB2312" w:hAnsi="仿宋" w:eastAsia="仿宋_GB2312"/>
          <w:b/>
          <w:bCs/>
          <w:sz w:val="32"/>
          <w:szCs w:val="32"/>
        </w:rPr>
        <w:t xml:space="preserve">4.</w:t>
      </w:r>
      <w:r>
        <w:rPr>
          <w:rFonts w:hint="eastAsia" w:ascii="仿宋_GB2312" w:hAnsi="仿宋" w:eastAsia="仿宋_GB2312"/>
          <w:b/>
          <w:bCs/>
          <w:sz w:val="32"/>
          <w:szCs w:val="32"/>
        </w:rPr>
        <w:t xml:space="preserve">推进网源协调</w:t>
      </w:r>
      <w:r>
        <w:rPr>
          <w:rFonts w:ascii="仿宋_GB2312" w:hAnsi="仿宋" w:eastAsia="仿宋_GB2312"/>
          <w:b/>
          <w:bCs/>
          <w:sz w:val="32"/>
          <w:szCs w:val="32"/>
        </w:rPr>
      </w:r>
      <w:r>
        <w:rPr>
          <w:rFonts w:ascii="仿宋_GB2312" w:hAnsi="仿宋" w:eastAsia="仿宋_GB2312"/>
          <w:b/>
          <w:bCs/>
          <w:sz w:val="32"/>
          <w:szCs w:val="32"/>
        </w:rPr>
      </w:r>
    </w:p>
    <w:p>
      <w:pPr>
        <w:pStyle w:val="633"/>
        <w:pBdr/>
        <w:spacing w:line="560" w:lineRule="exact"/>
        <w:ind w:firstLine="640"/>
        <w:rPr>
          <w:rFonts w:ascii="仿宋_GB2312" w:hAnsi="仿宋" w:eastAsia="仿宋_GB2312"/>
          <w:sz w:val="32"/>
          <w:szCs w:val="32"/>
        </w:rPr>
      </w:pPr>
      <w:r>
        <w:rPr>
          <w:rFonts w:hint="eastAsia" w:ascii="仿宋_GB2312" w:hAnsi="仿宋" w:eastAsia="仿宋_GB2312"/>
          <w:sz w:val="32"/>
          <w:szCs w:val="32"/>
        </w:rPr>
        <w:t xml:space="preserve">贯彻落实《电网运行准则》等国家标准，实施《发电厂并网运行管理实施细则》；完成《电力系统网源协调技术规范》等涉网行业标准的制订；加强电网调峰能力建设，推动火电机组调峰能力改造，提高区域电网应急反应能力，提高电力系统跨区域电网协调管控能力；完善电网大面积停电情况下电源</w:t>
      </w:r>
      <w:r>
        <w:rPr>
          <w:rFonts w:ascii="仿宋_GB2312" w:hAnsi="仿宋" w:eastAsia="仿宋_GB2312"/>
          <w:sz w:val="32"/>
          <w:szCs w:val="32"/>
        </w:rPr>
        <w:t xml:space="preserve">-</w:t>
      </w:r>
      <w:r>
        <w:rPr>
          <w:rFonts w:hint="eastAsia" w:ascii="仿宋_GB2312" w:hAnsi="仿宋" w:eastAsia="仿宋_GB2312"/>
          <w:sz w:val="32"/>
          <w:szCs w:val="32"/>
        </w:rPr>
        <w:t xml:space="preserve">电网</w:t>
      </w:r>
      <w:r>
        <w:rPr>
          <w:rFonts w:ascii="仿宋_GB2312" w:hAnsi="仿宋" w:eastAsia="仿宋_GB2312"/>
          <w:sz w:val="32"/>
          <w:szCs w:val="32"/>
        </w:rPr>
        <w:t xml:space="preserve">-</w:t>
      </w:r>
      <w:r>
        <w:rPr>
          <w:rFonts w:hint="eastAsia" w:ascii="仿宋_GB2312" w:hAnsi="仿宋" w:eastAsia="仿宋_GB2312"/>
          <w:sz w:val="32"/>
          <w:szCs w:val="32"/>
        </w:rPr>
        <w:t xml:space="preserve">负荷（以下简称“源-网-荷”）联动机制，支撑源</w:t>
      </w:r>
      <w:r>
        <w:rPr>
          <w:rFonts w:ascii="仿宋_GB2312" w:hAnsi="仿宋" w:eastAsia="仿宋_GB2312"/>
          <w:sz w:val="32"/>
          <w:szCs w:val="32"/>
        </w:rPr>
        <w:t xml:space="preserve">-</w:t>
      </w:r>
      <w:r>
        <w:rPr>
          <w:rFonts w:hint="eastAsia" w:ascii="仿宋_GB2312" w:hAnsi="仿宋" w:eastAsia="仿宋_GB2312"/>
          <w:sz w:val="32"/>
          <w:szCs w:val="32"/>
        </w:rPr>
        <w:t xml:space="preserve">网</w:t>
      </w:r>
      <w:r>
        <w:rPr>
          <w:rFonts w:ascii="仿宋_GB2312" w:hAnsi="仿宋" w:eastAsia="仿宋_GB2312"/>
          <w:sz w:val="32"/>
          <w:szCs w:val="32"/>
        </w:rPr>
        <w:t xml:space="preserve">-</w:t>
      </w:r>
      <w:r>
        <w:rPr>
          <w:rFonts w:hint="eastAsia" w:ascii="仿宋_GB2312" w:hAnsi="仿宋" w:eastAsia="仿宋_GB2312"/>
          <w:sz w:val="32"/>
          <w:szCs w:val="32"/>
        </w:rPr>
        <w:t xml:space="preserve">荷的全面互动和协调平衡，建立健全新能源</w:t>
      </w:r>
      <w:r>
        <w:rPr>
          <w:rFonts w:ascii="仿宋_GB2312" w:hAnsi="仿宋" w:eastAsia="仿宋_GB2312"/>
          <w:sz w:val="32"/>
          <w:szCs w:val="32"/>
        </w:rPr>
        <w:t xml:space="preserve">-</w:t>
      </w:r>
      <w:r>
        <w:rPr>
          <w:rFonts w:hint="eastAsia" w:ascii="仿宋_GB2312" w:hAnsi="仿宋" w:eastAsia="仿宋_GB2312"/>
          <w:sz w:val="32"/>
          <w:szCs w:val="32"/>
        </w:rPr>
        <w:t xml:space="preserve">常规能源</w:t>
      </w:r>
      <w:r>
        <w:rPr>
          <w:rFonts w:ascii="仿宋_GB2312" w:hAnsi="仿宋" w:eastAsia="仿宋_GB2312"/>
          <w:sz w:val="32"/>
          <w:szCs w:val="32"/>
        </w:rPr>
        <w:t xml:space="preserve">-</w:t>
      </w:r>
      <w:r>
        <w:rPr>
          <w:rFonts w:hint="eastAsia" w:ascii="仿宋_GB2312" w:hAnsi="仿宋" w:eastAsia="仿宋_GB2312"/>
          <w:sz w:val="32"/>
          <w:szCs w:val="32"/>
        </w:rPr>
        <w:t xml:space="preserve">电网的协调管控机制。</w:t>
      </w:r>
      <w:r>
        <w:rPr>
          <w:rFonts w:ascii="仿宋_GB2312" w:hAnsi="仿宋" w:eastAsia="仿宋_GB2312"/>
          <w:sz w:val="32"/>
          <w:szCs w:val="32"/>
        </w:rPr>
      </w:r>
      <w:r>
        <w:rPr>
          <w:rFonts w:ascii="仿宋_GB2312" w:hAnsi="仿宋" w:eastAsia="仿宋_GB2312"/>
          <w:sz w:val="32"/>
          <w:szCs w:val="32"/>
        </w:rPr>
      </w:r>
    </w:p>
    <w:p>
      <w:pPr>
        <w:pStyle w:val="633"/>
        <w:pBdr/>
        <w:spacing w:line="560" w:lineRule="exact"/>
        <w:ind w:firstLine="643"/>
        <w:outlineLvl w:val="2"/>
        <w:rPr>
          <w:rFonts w:ascii="仿宋_GB2312" w:hAnsi="仿宋" w:eastAsia="仿宋_GB2312"/>
          <w:b/>
          <w:bCs/>
          <w:sz w:val="32"/>
          <w:szCs w:val="32"/>
        </w:rPr>
      </w:pPr>
      <w:r>
        <w:rPr>
          <w:rFonts w:ascii="仿宋_GB2312" w:hAnsi="仿宋" w:eastAsia="仿宋_GB2312"/>
          <w:b/>
          <w:bCs/>
          <w:sz w:val="32"/>
          <w:szCs w:val="32"/>
        </w:rPr>
        <w:t xml:space="preserve">5.</w:t>
      </w:r>
      <w:r>
        <w:rPr>
          <w:rFonts w:hint="eastAsia" w:ascii="仿宋_GB2312" w:hAnsi="仿宋" w:eastAsia="仿宋_GB2312"/>
          <w:b/>
          <w:bCs/>
          <w:sz w:val="32"/>
          <w:szCs w:val="32"/>
        </w:rPr>
        <w:t xml:space="preserve">加强电力设施保护</w:t>
      </w:r>
      <w:r>
        <w:rPr>
          <w:rFonts w:ascii="仿宋_GB2312" w:hAnsi="仿宋" w:eastAsia="仿宋_GB2312"/>
          <w:b/>
          <w:bCs/>
          <w:sz w:val="32"/>
          <w:szCs w:val="32"/>
        </w:rPr>
      </w:r>
      <w:r>
        <w:rPr>
          <w:rFonts w:ascii="仿宋_GB2312" w:hAnsi="仿宋" w:eastAsia="仿宋_GB2312"/>
          <w:b/>
          <w:bCs/>
          <w:sz w:val="32"/>
          <w:szCs w:val="32"/>
        </w:rPr>
      </w:r>
    </w:p>
    <w:p>
      <w:pPr>
        <w:pStyle w:val="633"/>
        <w:pBdr/>
        <w:spacing w:line="560" w:lineRule="exact"/>
        <w:ind w:firstLine="640"/>
        <w:rPr>
          <w:rFonts w:hint="eastAsia" w:ascii="仿宋_GB2312" w:hAnsi="仿宋" w:eastAsia="仿宋_GB2312"/>
          <w:sz w:val="32"/>
          <w:szCs w:val="32"/>
        </w:rPr>
      </w:pPr>
      <w:r>
        <w:rPr>
          <w:rFonts w:hint="eastAsia" w:ascii="仿宋_GB2312" w:hAnsi="仿宋" w:eastAsia="仿宋_GB2312"/>
          <w:sz w:val="32"/>
          <w:szCs w:val="32"/>
        </w:rPr>
        <w:t xml:space="preserve">完善制度建设，落实法律责任，政企协同，维护电力设施安全稳定运行环境；加强风险监督管控；加大技防设施建设，提升电力设施防范能力；落实警企联动机制；加强电力设施反恐防范重点目标管理，制定防范和应对处置恐怖活动的预案和措施；加大宣传工作力度，营造电力设施保护良好舆论环境。</w:t>
      </w:r>
      <w:r>
        <w:rPr>
          <w:rFonts w:hint="eastAsia" w:ascii="仿宋_GB2312" w:hAnsi="仿宋" w:eastAsia="仿宋_GB2312"/>
          <w:sz w:val="32"/>
          <w:szCs w:val="32"/>
        </w:rPr>
      </w:r>
      <w:r>
        <w:rPr>
          <w:rFonts w:hint="eastAsia" w:ascii="仿宋_GB2312" w:hAnsi="仿宋" w:eastAsia="仿宋_GB2312"/>
          <w:sz w:val="32"/>
          <w:szCs w:val="32"/>
        </w:rPr>
      </w:r>
    </w:p>
    <w:p>
      <w:pPr>
        <w:pStyle w:val="633"/>
        <w:pBdr/>
        <w:spacing w:line="560" w:lineRule="exact"/>
        <w:ind w:firstLine="643"/>
        <w:outlineLvl w:val="1"/>
        <w:rPr>
          <w:rFonts w:ascii="楷体" w:hAnsi="楷体" w:eastAsia="楷体"/>
          <w:b/>
          <w:sz w:val="32"/>
          <w:szCs w:val="32"/>
        </w:rPr>
      </w:pPr>
      <w:r>
        <w:rPr>
          <w:rFonts w:hint="eastAsia" w:ascii="楷体" w:hAnsi="楷体" w:eastAsia="楷体"/>
          <w:b/>
          <w:sz w:val="32"/>
          <w:szCs w:val="32"/>
        </w:rPr>
        <w:t xml:space="preserve">（三）防范设备安全事故</w:t>
      </w:r>
      <w:r>
        <w:rPr>
          <w:rFonts w:ascii="楷体" w:hAnsi="楷体" w:eastAsia="楷体"/>
          <w:b/>
          <w:sz w:val="32"/>
          <w:szCs w:val="32"/>
        </w:rPr>
      </w:r>
      <w:r>
        <w:rPr>
          <w:rFonts w:ascii="楷体" w:hAnsi="楷体" w:eastAsia="楷体"/>
          <w:b/>
          <w:sz w:val="32"/>
          <w:szCs w:val="32"/>
        </w:rPr>
      </w:r>
    </w:p>
    <w:p>
      <w:pPr>
        <w:pStyle w:val="633"/>
        <w:pBdr/>
        <w:spacing w:line="560" w:lineRule="exact"/>
        <w:ind w:firstLine="643"/>
        <w:outlineLvl w:val="2"/>
        <w:rPr>
          <w:rFonts w:ascii="仿宋_GB2312" w:hAnsi="仿宋" w:eastAsia="仿宋_GB2312"/>
          <w:b/>
          <w:bCs/>
          <w:sz w:val="32"/>
          <w:szCs w:val="32"/>
        </w:rPr>
      </w:pPr>
      <w:r>
        <w:rPr>
          <w:rFonts w:ascii="仿宋_GB2312" w:hAnsi="仿宋" w:eastAsia="仿宋_GB2312"/>
          <w:b/>
          <w:bCs/>
          <w:sz w:val="32"/>
          <w:szCs w:val="32"/>
        </w:rPr>
        <w:t xml:space="preserve">1.</w:t>
      </w:r>
      <w:r>
        <w:rPr>
          <w:rFonts w:hint="eastAsia" w:ascii="仿宋_GB2312" w:hAnsi="仿宋" w:eastAsia="仿宋_GB2312"/>
          <w:b/>
          <w:bCs/>
          <w:sz w:val="32"/>
          <w:szCs w:val="32"/>
        </w:rPr>
        <w:t xml:space="preserve">加强设备质量源头管理</w:t>
      </w:r>
      <w:r>
        <w:rPr>
          <w:rFonts w:ascii="仿宋_GB2312" w:hAnsi="仿宋" w:eastAsia="仿宋_GB2312"/>
          <w:b/>
          <w:bCs/>
          <w:sz w:val="32"/>
          <w:szCs w:val="32"/>
        </w:rPr>
      </w:r>
      <w:r>
        <w:rPr>
          <w:rFonts w:ascii="仿宋_GB2312" w:hAnsi="仿宋" w:eastAsia="仿宋_GB2312"/>
          <w:b/>
          <w:bCs/>
          <w:sz w:val="32"/>
          <w:szCs w:val="32"/>
        </w:rPr>
      </w:r>
    </w:p>
    <w:p>
      <w:pPr>
        <w:pStyle w:val="633"/>
        <w:pBdr/>
        <w:spacing w:line="560" w:lineRule="exact"/>
        <w:ind w:firstLine="640"/>
        <w:rPr>
          <w:rFonts w:ascii="仿宋_GB2312" w:hAnsi="仿宋" w:eastAsia="仿宋_GB2312"/>
          <w:sz w:val="32"/>
          <w:szCs w:val="32"/>
        </w:rPr>
      </w:pPr>
      <w:r>
        <w:rPr>
          <w:rFonts w:hint="eastAsia" w:ascii="仿宋_GB2312" w:hAnsi="仿宋" w:eastAsia="仿宋_GB2312"/>
          <w:sz w:val="32"/>
          <w:szCs w:val="32"/>
        </w:rPr>
        <w:t xml:space="preserve">全面强化设备设计、制造、选型、招标、监造（监理）、安装、调试、运行、维护各环节质量控制和监督；探索建立电力设备“家族性”缺陷排查整治机制；建立产品安全质量备案（黑名单）制度，从源头严控产品质量。</w:t>
      </w:r>
      <w:r>
        <w:rPr>
          <w:rFonts w:ascii="仿宋_GB2312" w:hAnsi="仿宋" w:eastAsia="仿宋_GB2312"/>
          <w:sz w:val="32"/>
          <w:szCs w:val="32"/>
        </w:rPr>
      </w:r>
      <w:r>
        <w:rPr>
          <w:rFonts w:ascii="仿宋_GB2312" w:hAnsi="仿宋" w:eastAsia="仿宋_GB2312"/>
          <w:sz w:val="32"/>
          <w:szCs w:val="32"/>
        </w:rPr>
      </w:r>
    </w:p>
    <w:p>
      <w:pPr>
        <w:pStyle w:val="633"/>
        <w:pBdr/>
        <w:spacing w:line="560" w:lineRule="exact"/>
        <w:ind w:firstLine="643"/>
        <w:outlineLvl w:val="2"/>
        <w:rPr>
          <w:rFonts w:ascii="仿宋_GB2312" w:hAnsi="仿宋" w:eastAsia="仿宋_GB2312"/>
          <w:b/>
          <w:bCs/>
          <w:sz w:val="32"/>
          <w:szCs w:val="32"/>
        </w:rPr>
      </w:pPr>
      <w:r>
        <w:rPr>
          <w:rFonts w:ascii="仿宋_GB2312" w:hAnsi="仿宋" w:eastAsia="仿宋_GB2312"/>
          <w:b/>
          <w:bCs/>
          <w:sz w:val="32"/>
          <w:szCs w:val="32"/>
        </w:rPr>
        <w:t xml:space="preserve">2.</w:t>
      </w:r>
      <w:r>
        <w:rPr>
          <w:rFonts w:hint="eastAsia" w:ascii="仿宋_GB2312" w:hAnsi="仿宋" w:eastAsia="仿宋_GB2312"/>
          <w:b/>
          <w:bCs/>
          <w:sz w:val="32"/>
          <w:szCs w:val="32"/>
        </w:rPr>
        <w:t xml:space="preserve">加强设备招标管理</w:t>
      </w:r>
      <w:r>
        <w:rPr>
          <w:rFonts w:ascii="仿宋_GB2312" w:hAnsi="仿宋" w:eastAsia="仿宋_GB2312"/>
          <w:b/>
          <w:bCs/>
          <w:sz w:val="32"/>
          <w:szCs w:val="32"/>
        </w:rPr>
      </w:r>
      <w:r>
        <w:rPr>
          <w:rFonts w:ascii="仿宋_GB2312" w:hAnsi="仿宋" w:eastAsia="仿宋_GB2312"/>
          <w:b/>
          <w:bCs/>
          <w:sz w:val="32"/>
          <w:szCs w:val="32"/>
        </w:rPr>
      </w:r>
    </w:p>
    <w:p>
      <w:pPr>
        <w:pStyle w:val="633"/>
        <w:pBdr/>
        <w:spacing w:line="560" w:lineRule="exact"/>
        <w:ind w:firstLine="640"/>
        <w:rPr>
          <w:rFonts w:ascii="仿宋_GB2312" w:hAnsi="仿宋" w:eastAsia="仿宋_GB2312"/>
          <w:sz w:val="32"/>
          <w:szCs w:val="32"/>
        </w:rPr>
      </w:pPr>
      <w:r>
        <w:rPr>
          <w:rFonts w:hint="eastAsia" w:ascii="仿宋_GB2312" w:hAnsi="仿宋" w:eastAsia="仿宋_GB2312"/>
          <w:sz w:val="32"/>
          <w:szCs w:val="32"/>
        </w:rPr>
        <w:t xml:space="preserve">建立勘察、设计、施工、物资材料和设备采购等环节招投标文件及合同的安全和质量约定机制，严格审查招投标过程中有关国家强制性标准的实质性响应，利用大数据分析设备招投标过程中存在的问题，研判低价中标的诟病，以合理价格采购，保障安全和质量。</w:t>
      </w:r>
      <w:r>
        <w:rPr>
          <w:rFonts w:ascii="仿宋_GB2312" w:hAnsi="仿宋" w:eastAsia="仿宋_GB2312"/>
          <w:sz w:val="32"/>
          <w:szCs w:val="32"/>
        </w:rPr>
      </w:r>
      <w:r>
        <w:rPr>
          <w:rFonts w:ascii="仿宋_GB2312" w:hAnsi="仿宋" w:eastAsia="仿宋_GB2312"/>
          <w:sz w:val="32"/>
          <w:szCs w:val="32"/>
        </w:rPr>
      </w:r>
    </w:p>
    <w:p>
      <w:pPr>
        <w:pStyle w:val="633"/>
        <w:pBdr/>
        <w:spacing w:line="560" w:lineRule="exact"/>
        <w:ind w:firstLine="643"/>
        <w:outlineLvl w:val="2"/>
        <w:rPr>
          <w:rFonts w:ascii="仿宋_GB2312" w:hAnsi="仿宋" w:eastAsia="仿宋_GB2312"/>
          <w:b/>
          <w:bCs/>
          <w:sz w:val="32"/>
          <w:szCs w:val="32"/>
        </w:rPr>
      </w:pPr>
      <w:r>
        <w:rPr>
          <w:rFonts w:ascii="仿宋_GB2312" w:hAnsi="仿宋" w:eastAsia="仿宋_GB2312"/>
          <w:b/>
          <w:bCs/>
          <w:sz w:val="32"/>
          <w:szCs w:val="32"/>
        </w:rPr>
        <w:t xml:space="preserve">3.</w:t>
      </w:r>
      <w:r>
        <w:rPr>
          <w:rFonts w:hint="eastAsia" w:ascii="仿宋_GB2312" w:hAnsi="仿宋" w:eastAsia="仿宋_GB2312"/>
          <w:b/>
          <w:bCs/>
          <w:sz w:val="32"/>
          <w:szCs w:val="32"/>
        </w:rPr>
        <w:t xml:space="preserve">加强设备运行与维护</w:t>
      </w:r>
      <w:r>
        <w:rPr>
          <w:rFonts w:ascii="仿宋_GB2312" w:hAnsi="仿宋" w:eastAsia="仿宋_GB2312"/>
          <w:b/>
          <w:bCs/>
          <w:sz w:val="32"/>
          <w:szCs w:val="32"/>
        </w:rPr>
      </w:r>
      <w:r>
        <w:rPr>
          <w:rFonts w:ascii="仿宋_GB2312" w:hAnsi="仿宋" w:eastAsia="仿宋_GB2312"/>
          <w:b/>
          <w:bCs/>
          <w:sz w:val="32"/>
          <w:szCs w:val="32"/>
        </w:rPr>
      </w:r>
    </w:p>
    <w:p>
      <w:pPr>
        <w:pStyle w:val="633"/>
        <w:pBdr/>
        <w:spacing w:line="560" w:lineRule="exact"/>
        <w:ind w:firstLine="640"/>
        <w:rPr>
          <w:rFonts w:ascii="仿宋_GB2312" w:hAnsi="仿宋" w:eastAsia="仿宋_GB2312"/>
          <w:sz w:val="32"/>
          <w:szCs w:val="32"/>
        </w:rPr>
      </w:pPr>
      <w:r>
        <w:rPr>
          <w:rFonts w:hint="eastAsia" w:ascii="仿宋_GB2312" w:hAnsi="仿宋" w:eastAsia="仿宋_GB2312"/>
          <w:sz w:val="32"/>
          <w:szCs w:val="32"/>
        </w:rPr>
        <w:t xml:space="preserve">加强和完善发电、电网、新能源等诸领域设备安全监控与保护装置，严禁破坏或随意解除设备的保护措施；加强设备状态监测、精密诊断和设备设施缺陷管理；严格执行操作规程，推广设备运行规范化和设备检修精益化管理模式。</w:t>
      </w:r>
      <w:r>
        <w:rPr>
          <w:rFonts w:ascii="仿宋_GB2312" w:hAnsi="仿宋" w:eastAsia="仿宋_GB2312"/>
          <w:sz w:val="32"/>
          <w:szCs w:val="32"/>
        </w:rPr>
      </w:r>
      <w:r>
        <w:rPr>
          <w:rFonts w:ascii="仿宋_GB2312" w:hAnsi="仿宋" w:eastAsia="仿宋_GB2312"/>
          <w:sz w:val="32"/>
          <w:szCs w:val="32"/>
        </w:rPr>
      </w:r>
    </w:p>
    <w:p>
      <w:pPr>
        <w:pStyle w:val="633"/>
        <w:pBdr/>
        <w:spacing w:line="560" w:lineRule="exact"/>
        <w:ind w:firstLine="643"/>
        <w:outlineLvl w:val="2"/>
        <w:rPr>
          <w:rFonts w:ascii="仿宋_GB2312" w:hAnsi="仿宋" w:eastAsia="仿宋_GB2312"/>
          <w:b/>
          <w:bCs/>
          <w:sz w:val="32"/>
          <w:szCs w:val="32"/>
        </w:rPr>
      </w:pPr>
      <w:r>
        <w:rPr>
          <w:rFonts w:ascii="仿宋_GB2312" w:hAnsi="仿宋" w:eastAsia="仿宋_GB2312"/>
          <w:b/>
          <w:bCs/>
          <w:sz w:val="32"/>
          <w:szCs w:val="32"/>
        </w:rPr>
        <w:t xml:space="preserve">4.</w:t>
      </w:r>
      <w:r>
        <w:rPr>
          <w:rFonts w:hint="eastAsia" w:ascii="仿宋_GB2312" w:hAnsi="仿宋" w:eastAsia="仿宋_GB2312"/>
          <w:b/>
          <w:bCs/>
          <w:sz w:val="32"/>
          <w:szCs w:val="32"/>
        </w:rPr>
        <w:t xml:space="preserve">加强可靠性管理</w:t>
      </w:r>
      <w:r>
        <w:rPr>
          <w:rFonts w:ascii="仿宋_GB2312" w:hAnsi="仿宋" w:eastAsia="仿宋_GB2312"/>
          <w:b/>
          <w:bCs/>
          <w:sz w:val="32"/>
          <w:szCs w:val="32"/>
        </w:rPr>
      </w:r>
      <w:r>
        <w:rPr>
          <w:rFonts w:ascii="仿宋_GB2312" w:hAnsi="仿宋" w:eastAsia="仿宋_GB2312"/>
          <w:b/>
          <w:bCs/>
          <w:sz w:val="32"/>
          <w:szCs w:val="32"/>
        </w:rPr>
      </w:r>
    </w:p>
    <w:p>
      <w:pPr>
        <w:pStyle w:val="633"/>
        <w:pBdr/>
        <w:spacing w:line="560" w:lineRule="exact"/>
        <w:ind w:firstLine="640"/>
        <w:rPr>
          <w:rFonts w:ascii="仿宋_GB2312" w:hAnsi="仿宋" w:eastAsia="仿宋_GB2312"/>
          <w:sz w:val="32"/>
          <w:szCs w:val="32"/>
        </w:rPr>
      </w:pPr>
      <w:r>
        <w:rPr>
          <w:rFonts w:hint="eastAsia" w:ascii="仿宋_GB2312" w:hAnsi="仿宋" w:eastAsia="仿宋_GB2312"/>
          <w:sz w:val="32"/>
          <w:szCs w:val="32"/>
        </w:rPr>
        <w:t xml:space="preserve">构建设备设施可靠性信息共享机制，强化可靠性统计数据分析与监管，充分发挥可靠性技术与数据在电力规划设计、项目建设、运营维护、优质服务中的辅助决策作用。</w:t>
      </w:r>
      <w:r>
        <w:rPr>
          <w:rFonts w:ascii="仿宋_GB2312" w:hAnsi="仿宋" w:eastAsia="仿宋_GB2312"/>
          <w:sz w:val="32"/>
          <w:szCs w:val="32"/>
        </w:rPr>
      </w:r>
      <w:r>
        <w:rPr>
          <w:rFonts w:ascii="仿宋_GB2312" w:hAnsi="仿宋" w:eastAsia="仿宋_GB2312"/>
          <w:sz w:val="32"/>
          <w:szCs w:val="32"/>
        </w:rPr>
      </w:r>
    </w:p>
    <w:p>
      <w:pPr>
        <w:pStyle w:val="633"/>
        <w:pBdr/>
        <w:spacing w:line="560" w:lineRule="exact"/>
        <w:ind w:firstLine="643"/>
        <w:outlineLvl w:val="2"/>
        <w:rPr>
          <w:rFonts w:ascii="仿宋_GB2312" w:hAnsi="仿宋" w:eastAsia="仿宋_GB2312"/>
          <w:b/>
          <w:bCs/>
          <w:sz w:val="32"/>
          <w:szCs w:val="32"/>
        </w:rPr>
      </w:pPr>
      <w:r>
        <w:rPr>
          <w:rFonts w:ascii="仿宋_GB2312" w:hAnsi="仿宋" w:eastAsia="仿宋_GB2312"/>
          <w:b/>
          <w:bCs/>
          <w:sz w:val="32"/>
          <w:szCs w:val="32"/>
        </w:rPr>
        <w:t xml:space="preserve">5.</w:t>
      </w:r>
      <w:r>
        <w:rPr>
          <w:rFonts w:hint="eastAsia" w:ascii="仿宋_GB2312" w:hAnsi="仿宋" w:eastAsia="仿宋_GB2312"/>
          <w:b/>
          <w:bCs/>
          <w:sz w:val="32"/>
          <w:szCs w:val="32"/>
        </w:rPr>
        <w:t xml:space="preserve">加强电力技术监督管理</w:t>
      </w:r>
      <w:r>
        <w:rPr>
          <w:rFonts w:ascii="仿宋_GB2312" w:hAnsi="仿宋" w:eastAsia="仿宋_GB2312"/>
          <w:b/>
          <w:bCs/>
          <w:sz w:val="32"/>
          <w:szCs w:val="32"/>
        </w:rPr>
      </w:r>
      <w:r>
        <w:rPr>
          <w:rFonts w:ascii="仿宋_GB2312" w:hAnsi="仿宋" w:eastAsia="仿宋_GB2312"/>
          <w:b/>
          <w:bCs/>
          <w:sz w:val="32"/>
          <w:szCs w:val="32"/>
        </w:rPr>
      </w:r>
    </w:p>
    <w:p>
      <w:pPr>
        <w:pStyle w:val="633"/>
        <w:pBdr/>
        <w:spacing w:line="560" w:lineRule="exact"/>
        <w:ind w:firstLine="640"/>
        <w:rPr>
          <w:rFonts w:ascii="仿宋_GB2312" w:hAnsi="仿宋" w:eastAsia="仿宋_GB2312"/>
          <w:sz w:val="32"/>
          <w:szCs w:val="32"/>
        </w:rPr>
      </w:pPr>
      <w:r>
        <w:rPr>
          <w:rFonts w:hint="eastAsia" w:ascii="仿宋_GB2312" w:hAnsi="仿宋" w:eastAsia="仿宋_GB2312"/>
          <w:sz w:val="32"/>
          <w:szCs w:val="32"/>
        </w:rPr>
        <w:t xml:space="preserve">进一步完善技术监督体系，优化落实技术监督预警、告警和整改制度；建立全国电力技术监督协作机制，加强技术监督专业交流沟通，实现信息共享。</w:t>
      </w:r>
      <w:r>
        <w:rPr>
          <w:rFonts w:ascii="仿宋_GB2312" w:hAnsi="仿宋" w:eastAsia="仿宋_GB2312"/>
          <w:sz w:val="32"/>
          <w:szCs w:val="32"/>
        </w:rPr>
      </w:r>
      <w:r>
        <w:rPr>
          <w:rFonts w:ascii="仿宋_GB2312" w:hAnsi="仿宋" w:eastAsia="仿宋_GB2312"/>
          <w:sz w:val="32"/>
          <w:szCs w:val="32"/>
        </w:rPr>
      </w:r>
    </w:p>
    <w:p>
      <w:pPr>
        <w:pStyle w:val="633"/>
        <w:pBdr/>
        <w:spacing w:line="560" w:lineRule="exact"/>
        <w:ind w:firstLine="643"/>
        <w:outlineLvl w:val="2"/>
        <w:rPr>
          <w:rFonts w:ascii="仿宋_GB2312" w:hAnsi="仿宋" w:eastAsia="仿宋_GB2312"/>
          <w:b/>
          <w:bCs/>
          <w:sz w:val="32"/>
          <w:szCs w:val="32"/>
        </w:rPr>
      </w:pPr>
      <w:r>
        <w:rPr>
          <w:rFonts w:ascii="仿宋_GB2312" w:hAnsi="仿宋" w:eastAsia="仿宋_GB2312"/>
          <w:b/>
          <w:bCs/>
          <w:sz w:val="32"/>
          <w:szCs w:val="32"/>
        </w:rPr>
        <w:t xml:space="preserve">6.</w:t>
      </w:r>
      <w:r>
        <w:rPr>
          <w:rFonts w:hint="eastAsia" w:ascii="仿宋_GB2312" w:hAnsi="仿宋" w:eastAsia="仿宋_GB2312"/>
          <w:b/>
          <w:bCs/>
          <w:sz w:val="32"/>
          <w:szCs w:val="32"/>
        </w:rPr>
        <w:t xml:space="preserve">加快设备技术改造</w:t>
      </w:r>
      <w:r>
        <w:rPr>
          <w:rFonts w:ascii="仿宋_GB2312" w:hAnsi="仿宋" w:eastAsia="仿宋_GB2312"/>
          <w:b/>
          <w:bCs/>
          <w:sz w:val="32"/>
          <w:szCs w:val="32"/>
        </w:rPr>
      </w:r>
      <w:r>
        <w:rPr>
          <w:rFonts w:ascii="仿宋_GB2312" w:hAnsi="仿宋" w:eastAsia="仿宋_GB2312"/>
          <w:b/>
          <w:bCs/>
          <w:sz w:val="32"/>
          <w:szCs w:val="32"/>
        </w:rPr>
      </w:r>
    </w:p>
    <w:p>
      <w:pPr>
        <w:pStyle w:val="633"/>
        <w:pBdr/>
        <w:spacing w:line="560" w:lineRule="exact"/>
        <w:ind w:firstLine="640"/>
        <w:rPr>
          <w:rFonts w:ascii="仿宋_GB2312" w:hAnsi="仿宋" w:eastAsia="仿宋_GB2312"/>
          <w:sz w:val="32"/>
          <w:szCs w:val="32"/>
        </w:rPr>
      </w:pPr>
      <w:r>
        <w:rPr>
          <w:rFonts w:hint="eastAsia" w:ascii="仿宋_GB2312" w:hAnsi="仿宋" w:eastAsia="仿宋_GB2312"/>
          <w:sz w:val="32"/>
          <w:szCs w:val="32"/>
        </w:rPr>
        <w:t xml:space="preserve">推广科技创新技术，加大老旧设备升级改造，强化设备技术改进与质量提升，降低设备故障率；推广利用大数据技术和设备智能诊断技术，开展集中检修和专项整治；开展设备综合改造。</w:t>
      </w:r>
      <w:r>
        <w:rPr>
          <w:rFonts w:ascii="仿宋_GB2312" w:hAnsi="仿宋" w:eastAsia="仿宋_GB2312"/>
          <w:sz w:val="32"/>
          <w:szCs w:val="32"/>
        </w:rPr>
      </w:r>
      <w:r>
        <w:rPr>
          <w:rFonts w:ascii="仿宋_GB2312" w:hAnsi="仿宋" w:eastAsia="仿宋_GB2312"/>
          <w:sz w:val="32"/>
          <w:szCs w:val="32"/>
        </w:rPr>
      </w:r>
    </w:p>
    <w:p>
      <w:pPr>
        <w:pStyle w:val="633"/>
        <w:pBdr/>
        <w:spacing w:line="560" w:lineRule="exact"/>
        <w:ind w:firstLine="643"/>
        <w:outlineLvl w:val="1"/>
        <w:rPr>
          <w:rFonts w:hint="eastAsia" w:ascii="楷体" w:hAnsi="楷体" w:eastAsia="楷体"/>
          <w:b/>
          <w:sz w:val="32"/>
          <w:szCs w:val="32"/>
        </w:rPr>
      </w:pPr>
      <w:r>
        <w:rPr>
          <w:rFonts w:hint="eastAsia" w:ascii="楷体" w:hAnsi="楷体" w:eastAsia="楷体"/>
          <w:b/>
          <w:bCs/>
          <w:sz w:val="32"/>
          <w:szCs w:val="32"/>
        </w:rPr>
        <w:t xml:space="preserve">（</w:t>
      </w:r>
      <w:r>
        <w:rPr>
          <w:rFonts w:hint="eastAsia" w:ascii="楷体" w:hAnsi="楷体" w:eastAsia="楷体"/>
          <w:b/>
          <w:sz w:val="32"/>
          <w:szCs w:val="32"/>
        </w:rPr>
        <w:t xml:space="preserve">四）防范大坝安全事故</w:t>
      </w:r>
      <w:r>
        <w:rPr>
          <w:rFonts w:hint="eastAsia" w:ascii="楷体" w:hAnsi="楷体" w:eastAsia="楷体"/>
          <w:b/>
          <w:sz w:val="32"/>
          <w:szCs w:val="32"/>
        </w:rPr>
      </w:r>
      <w:r>
        <w:rPr>
          <w:rFonts w:hint="eastAsia" w:ascii="楷体" w:hAnsi="楷体" w:eastAsia="楷体"/>
          <w:b/>
          <w:sz w:val="32"/>
          <w:szCs w:val="32"/>
        </w:rPr>
      </w:r>
    </w:p>
    <w:p>
      <w:pPr>
        <w:pStyle w:val="633"/>
        <w:pBdr/>
        <w:spacing w:line="560" w:lineRule="exact"/>
        <w:ind w:firstLine="643"/>
        <w:outlineLvl w:val="2"/>
        <w:rPr>
          <w:rFonts w:ascii="仿宋_GB2312" w:hAnsi="仿宋" w:eastAsia="仿宋_GB2312"/>
          <w:b/>
          <w:bCs/>
          <w:sz w:val="32"/>
          <w:szCs w:val="32"/>
        </w:rPr>
      </w:pPr>
      <w:r>
        <w:rPr>
          <w:rFonts w:ascii="仿宋_GB2312" w:hAnsi="仿宋" w:eastAsia="仿宋_GB2312"/>
          <w:b/>
          <w:bCs/>
          <w:sz w:val="32"/>
          <w:szCs w:val="32"/>
        </w:rPr>
        <w:t xml:space="preserve">1.</w:t>
      </w:r>
      <w:r>
        <w:rPr>
          <w:rFonts w:hint="eastAsia" w:ascii="仿宋_GB2312" w:hAnsi="仿宋" w:eastAsia="仿宋_GB2312"/>
          <w:b/>
          <w:bCs/>
          <w:sz w:val="32"/>
          <w:szCs w:val="32"/>
        </w:rPr>
        <w:t xml:space="preserve">严格落实大坝安全“三同时”要求</w:t>
      </w:r>
      <w:r>
        <w:rPr>
          <w:rFonts w:ascii="仿宋_GB2312" w:hAnsi="仿宋" w:eastAsia="仿宋_GB2312"/>
          <w:b/>
          <w:bCs/>
          <w:sz w:val="32"/>
          <w:szCs w:val="32"/>
        </w:rPr>
      </w:r>
      <w:r>
        <w:rPr>
          <w:rFonts w:ascii="仿宋_GB2312" w:hAnsi="仿宋" w:eastAsia="仿宋_GB2312"/>
          <w:b/>
          <w:bCs/>
          <w:sz w:val="32"/>
          <w:szCs w:val="32"/>
        </w:rPr>
      </w:r>
    </w:p>
    <w:p>
      <w:pPr>
        <w:pStyle w:val="633"/>
        <w:pBdr/>
        <w:spacing w:line="560" w:lineRule="exact"/>
        <w:ind w:firstLine="640"/>
        <w:rPr>
          <w:rFonts w:ascii="仿宋_GB2312" w:hAnsi="仿宋" w:eastAsia="仿宋_GB2312"/>
          <w:sz w:val="32"/>
          <w:szCs w:val="32"/>
        </w:rPr>
      </w:pPr>
      <w:r>
        <w:rPr>
          <w:rFonts w:hint="eastAsia" w:ascii="仿宋_GB2312" w:hAnsi="仿宋" w:eastAsia="仿宋_GB2312"/>
          <w:sz w:val="32"/>
          <w:szCs w:val="32"/>
        </w:rPr>
        <w:t xml:space="preserve">实现大坝安全监测系统、泄洪消能和防护设施、应急电源等安全设施与大坝主体工程同时设计、同时施工、同时投入运行。推行验收前安全鉴定工作，实现大坝蓄水验收和枢纽工程专项验收前分别通过蓄水安全鉴定和竣工安全鉴定。</w:t>
      </w:r>
      <w:r>
        <w:rPr>
          <w:rFonts w:ascii="仿宋_GB2312" w:hAnsi="仿宋" w:eastAsia="仿宋_GB2312"/>
          <w:sz w:val="32"/>
          <w:szCs w:val="32"/>
        </w:rPr>
      </w:r>
      <w:r>
        <w:rPr>
          <w:rFonts w:ascii="仿宋_GB2312" w:hAnsi="仿宋" w:eastAsia="仿宋_GB2312"/>
          <w:sz w:val="32"/>
          <w:szCs w:val="32"/>
        </w:rPr>
      </w:r>
    </w:p>
    <w:p>
      <w:pPr>
        <w:pStyle w:val="633"/>
        <w:pBdr/>
        <w:spacing w:line="560" w:lineRule="exact"/>
        <w:ind w:firstLine="643"/>
        <w:outlineLvl w:val="2"/>
        <w:rPr>
          <w:rFonts w:ascii="仿宋_GB2312" w:hAnsi="仿宋" w:eastAsia="仿宋_GB2312"/>
          <w:b/>
          <w:bCs/>
          <w:sz w:val="32"/>
          <w:szCs w:val="32"/>
        </w:rPr>
      </w:pPr>
      <w:r>
        <w:rPr>
          <w:rFonts w:ascii="仿宋_GB2312" w:hAnsi="仿宋" w:eastAsia="仿宋_GB2312"/>
          <w:b/>
          <w:bCs/>
          <w:sz w:val="32"/>
          <w:szCs w:val="32"/>
        </w:rPr>
        <w:t xml:space="preserve">2.</w:t>
      </w:r>
      <w:r>
        <w:rPr>
          <w:rFonts w:hint="eastAsia" w:ascii="仿宋_GB2312" w:hAnsi="仿宋" w:eastAsia="仿宋_GB2312"/>
          <w:b/>
          <w:bCs/>
          <w:sz w:val="32"/>
          <w:szCs w:val="32"/>
        </w:rPr>
        <w:t xml:space="preserve">加强大坝安全状况检查与评估</w:t>
      </w:r>
      <w:r>
        <w:rPr>
          <w:rFonts w:ascii="仿宋_GB2312" w:hAnsi="仿宋" w:eastAsia="仿宋_GB2312"/>
          <w:b/>
          <w:bCs/>
          <w:sz w:val="32"/>
          <w:szCs w:val="32"/>
        </w:rPr>
      </w:r>
      <w:r>
        <w:rPr>
          <w:rFonts w:ascii="仿宋_GB2312" w:hAnsi="仿宋" w:eastAsia="仿宋_GB2312"/>
          <w:b/>
          <w:bCs/>
          <w:sz w:val="32"/>
          <w:szCs w:val="32"/>
        </w:rPr>
      </w:r>
    </w:p>
    <w:p>
      <w:pPr>
        <w:pStyle w:val="633"/>
        <w:pBdr/>
        <w:spacing w:line="560" w:lineRule="exact"/>
        <w:ind w:firstLine="640"/>
        <w:rPr>
          <w:rFonts w:ascii="仿宋_GB2312" w:hAnsi="仿宋" w:eastAsia="仿宋_GB2312"/>
          <w:sz w:val="32"/>
          <w:szCs w:val="32"/>
        </w:rPr>
      </w:pPr>
      <w:r>
        <w:rPr>
          <w:rFonts w:hint="eastAsia" w:ascii="仿宋_GB2312" w:hAnsi="仿宋" w:eastAsia="仿宋_GB2312"/>
          <w:sz w:val="32"/>
          <w:szCs w:val="32"/>
        </w:rPr>
        <w:t xml:space="preserve">推行大坝特种检查机制，在大坝遭受超标准洪水或者破坏性地震等自然灾害以及其他严重事件后，重新评定大坝安全等级。推行病坝、险坝的限时处理。持续完善重大工程缺陷和隐患处理流程，开展专项设计、专项审查、专项施工和专项验收。做好大坝防洪度汛工作。</w:t>
      </w:r>
      <w:r>
        <w:rPr>
          <w:rFonts w:ascii="仿宋_GB2312" w:hAnsi="仿宋" w:eastAsia="仿宋_GB2312"/>
          <w:sz w:val="32"/>
          <w:szCs w:val="32"/>
        </w:rPr>
      </w:r>
      <w:r>
        <w:rPr>
          <w:rFonts w:ascii="仿宋_GB2312" w:hAnsi="仿宋" w:eastAsia="仿宋_GB2312"/>
          <w:sz w:val="32"/>
          <w:szCs w:val="32"/>
        </w:rPr>
      </w:r>
    </w:p>
    <w:p>
      <w:pPr>
        <w:pStyle w:val="633"/>
        <w:pBdr/>
        <w:spacing w:line="560" w:lineRule="exact"/>
        <w:ind w:firstLine="640"/>
        <w:rPr>
          <w:rFonts w:ascii="仿宋_GB2312" w:hAnsi="仿宋" w:eastAsia="仿宋_GB2312"/>
          <w:sz w:val="32"/>
          <w:szCs w:val="32"/>
        </w:rPr>
      </w:pPr>
      <w:r>
        <w:rPr>
          <w:rFonts w:hint="eastAsia" w:ascii="仿宋_GB2312" w:hAnsi="仿宋" w:eastAsia="仿宋_GB2312"/>
          <w:sz w:val="32"/>
          <w:szCs w:val="32"/>
        </w:rPr>
        <w:t xml:space="preserve">加强大坝安全监测与信息化建设工作，提升大坝安全状态监控水平；开展高坝大库的安全性研究，强化水电站大坝安全监测和运行安全分析。</w:t>
      </w:r>
      <w:r>
        <w:rPr>
          <w:rFonts w:ascii="仿宋_GB2312" w:hAnsi="仿宋" w:eastAsia="仿宋_GB2312"/>
          <w:sz w:val="32"/>
          <w:szCs w:val="32"/>
        </w:rPr>
      </w:r>
      <w:r>
        <w:rPr>
          <w:rFonts w:ascii="仿宋_GB2312" w:hAnsi="仿宋" w:eastAsia="仿宋_GB2312"/>
          <w:sz w:val="32"/>
          <w:szCs w:val="32"/>
        </w:rPr>
      </w:r>
    </w:p>
    <w:p>
      <w:pPr>
        <w:pStyle w:val="633"/>
        <w:pBdr/>
        <w:spacing w:line="560" w:lineRule="exact"/>
        <w:ind w:firstLine="643"/>
        <w:outlineLvl w:val="2"/>
        <w:rPr>
          <w:rFonts w:hint="eastAsia" w:ascii="仿宋_GB2312" w:hAnsi="仿宋" w:eastAsia="仿宋_GB2312"/>
          <w:b/>
          <w:bCs/>
          <w:sz w:val="32"/>
          <w:szCs w:val="32"/>
        </w:rPr>
      </w:pPr>
      <w:r>
        <w:rPr>
          <w:rFonts w:hint="eastAsia" w:ascii="仿宋_GB2312" w:hAnsi="仿宋" w:eastAsia="仿宋_GB2312"/>
          <w:b/>
          <w:bCs/>
          <w:sz w:val="32"/>
          <w:szCs w:val="32"/>
        </w:rPr>
        <w:t xml:space="preserve">3.完善大坝应急管理</w:t>
      </w:r>
      <w:r>
        <w:rPr>
          <w:rFonts w:hint="eastAsia" w:ascii="仿宋_GB2312" w:hAnsi="仿宋" w:eastAsia="仿宋_GB2312"/>
          <w:b/>
          <w:bCs/>
          <w:sz w:val="32"/>
          <w:szCs w:val="32"/>
        </w:rPr>
      </w:r>
      <w:r>
        <w:rPr>
          <w:rFonts w:hint="eastAsia" w:ascii="仿宋_GB2312" w:hAnsi="仿宋" w:eastAsia="仿宋_GB2312"/>
          <w:b/>
          <w:bCs/>
          <w:sz w:val="32"/>
          <w:szCs w:val="32"/>
        </w:rPr>
      </w:r>
    </w:p>
    <w:p>
      <w:pPr>
        <w:pStyle w:val="633"/>
        <w:pBdr/>
        <w:spacing w:line="560" w:lineRule="exact"/>
        <w:ind w:firstLine="640"/>
        <w:rPr>
          <w:rFonts w:hint="eastAsia" w:ascii="仿宋_GB2312" w:hAnsi="仿宋" w:eastAsia="仿宋_GB2312"/>
          <w:sz w:val="32"/>
          <w:szCs w:val="32"/>
        </w:rPr>
      </w:pPr>
      <w:r>
        <w:rPr>
          <w:rFonts w:hint="eastAsia" w:ascii="仿宋_GB2312" w:hAnsi="仿宋" w:eastAsia="仿宋_GB2312"/>
          <w:sz w:val="32"/>
          <w:szCs w:val="32"/>
        </w:rPr>
        <w:t xml:space="preserve">建立大坝安全应急管理体系，制定大坝安全应急预案，建立与地方政府、相关单位的应急联动机制，进一步完善电网和水利调度部门的协调机制，确保汛期水电站运行安全。</w:t>
      </w:r>
      <w:r>
        <w:rPr>
          <w:rFonts w:hint="eastAsia" w:ascii="仿宋_GB2312" w:hAnsi="仿宋" w:eastAsia="仿宋_GB2312"/>
          <w:sz w:val="32"/>
          <w:szCs w:val="32"/>
        </w:rPr>
      </w:r>
      <w:r>
        <w:rPr>
          <w:rFonts w:hint="eastAsia" w:ascii="仿宋_GB2312" w:hAnsi="仿宋" w:eastAsia="仿宋_GB2312"/>
          <w:sz w:val="32"/>
          <w:szCs w:val="32"/>
        </w:rPr>
      </w:r>
    </w:p>
    <w:p>
      <w:pPr>
        <w:pStyle w:val="633"/>
        <w:pBdr/>
        <w:spacing w:line="560" w:lineRule="exact"/>
        <w:ind w:firstLine="643"/>
        <w:outlineLvl w:val="1"/>
        <w:rPr>
          <w:rFonts w:hint="eastAsia" w:ascii="楷体" w:hAnsi="楷体" w:eastAsia="楷体"/>
          <w:b/>
          <w:sz w:val="32"/>
          <w:szCs w:val="32"/>
        </w:rPr>
      </w:pPr>
      <w:r>
        <w:rPr>
          <w:rFonts w:hint="eastAsia" w:ascii="楷体" w:hAnsi="楷体" w:eastAsia="楷体"/>
          <w:b/>
          <w:sz w:val="32"/>
          <w:szCs w:val="32"/>
        </w:rPr>
        <w:t xml:space="preserve">（五）防范网络和信息安全事故</w:t>
      </w:r>
      <w:r>
        <w:rPr>
          <w:rFonts w:hint="eastAsia" w:ascii="楷体" w:hAnsi="楷体" w:eastAsia="楷体"/>
          <w:b/>
          <w:sz w:val="32"/>
          <w:szCs w:val="32"/>
        </w:rPr>
      </w:r>
      <w:r>
        <w:rPr>
          <w:rFonts w:hint="eastAsia" w:ascii="楷体" w:hAnsi="楷体" w:eastAsia="楷体"/>
          <w:b/>
          <w:sz w:val="32"/>
          <w:szCs w:val="32"/>
        </w:rPr>
      </w:r>
    </w:p>
    <w:p>
      <w:pPr>
        <w:pStyle w:val="633"/>
        <w:pBdr/>
        <w:spacing w:line="560" w:lineRule="exact"/>
        <w:ind w:firstLine="643"/>
        <w:rPr>
          <w:rFonts w:ascii="仿宋_GB2312" w:eastAsia="仿宋_GB2312"/>
          <w:b/>
          <w:bCs/>
          <w:color w:val="000000"/>
          <w:sz w:val="32"/>
          <w:szCs w:val="32"/>
          <w:shd w:val="clear" w:color="auto" w:fill="ffffff"/>
        </w:rPr>
      </w:pPr>
      <w:r>
        <w:rPr>
          <w:rFonts w:ascii="仿宋_GB2312" w:eastAsia="仿宋_GB2312"/>
          <w:b/>
          <w:bCs/>
          <w:color w:val="000000"/>
          <w:sz w:val="32"/>
          <w:szCs w:val="32"/>
          <w:shd w:val="clear" w:color="auto" w:fill="ffffff"/>
        </w:rPr>
        <w:t xml:space="preserve">1.</w:t>
      </w:r>
      <w:r>
        <w:rPr>
          <w:rFonts w:hint="eastAsia" w:ascii="仿宋_GB2312" w:eastAsia="仿宋_GB2312"/>
          <w:b/>
          <w:bCs/>
          <w:color w:val="000000"/>
          <w:sz w:val="32"/>
          <w:szCs w:val="32"/>
          <w:shd w:val="clear" w:color="auto" w:fill="ffffff"/>
        </w:rPr>
        <w:t xml:space="preserve">贯彻法律法规，强化防护体系</w:t>
      </w:r>
      <w:r>
        <w:rPr>
          <w:rFonts w:ascii="仿宋_GB2312" w:eastAsia="仿宋_GB2312"/>
          <w:b/>
          <w:bCs/>
          <w:color w:val="000000"/>
          <w:sz w:val="32"/>
          <w:szCs w:val="32"/>
          <w:shd w:val="clear" w:color="auto" w:fill="ffffff"/>
        </w:rPr>
      </w:r>
      <w:r>
        <w:rPr>
          <w:rFonts w:ascii="仿宋_GB2312" w:eastAsia="仿宋_GB2312"/>
          <w:b/>
          <w:bCs/>
          <w:color w:val="000000"/>
          <w:sz w:val="32"/>
          <w:szCs w:val="32"/>
          <w:shd w:val="clear" w:color="auto" w:fill="ffffff"/>
        </w:rPr>
      </w:r>
    </w:p>
    <w:p>
      <w:pPr>
        <w:pStyle w:val="633"/>
        <w:pBdr/>
        <w:spacing w:line="560" w:lineRule="exact"/>
        <w:ind w:firstLine="640"/>
        <w:rPr>
          <w:rFonts w:ascii="仿宋_GB2312" w:hAnsi="仿宋" w:eastAsia="仿宋_GB2312"/>
          <w:sz w:val="32"/>
          <w:szCs w:val="32"/>
        </w:rPr>
      </w:pPr>
      <w:r>
        <w:rPr>
          <w:rFonts w:hint="eastAsia" w:ascii="仿宋_GB2312" w:hAnsi="仿宋" w:eastAsia="仿宋_GB2312"/>
          <w:sz w:val="32"/>
          <w:szCs w:val="32"/>
        </w:rPr>
        <w:t xml:space="preserve">贯彻落实《网络安全法》和《电力监控系统安全防护规定》，强化电力监控系统安全防护体系，不断完善监控系统的基础设施、体系架构、系统本体安全以及可信安全免疫、应急响应措施和全面安全管理。</w:t>
      </w:r>
      <w:r>
        <w:rPr>
          <w:rFonts w:ascii="仿宋_GB2312" w:hAnsi="仿宋" w:eastAsia="仿宋_GB2312"/>
          <w:sz w:val="32"/>
          <w:szCs w:val="32"/>
        </w:rPr>
      </w:r>
      <w:r>
        <w:rPr>
          <w:rFonts w:ascii="仿宋_GB2312" w:hAnsi="仿宋" w:eastAsia="仿宋_GB2312"/>
          <w:sz w:val="32"/>
          <w:szCs w:val="32"/>
        </w:rPr>
      </w:r>
    </w:p>
    <w:p>
      <w:pPr>
        <w:pStyle w:val="633"/>
        <w:pBdr/>
        <w:spacing w:line="560" w:lineRule="exact"/>
        <w:ind w:firstLine="643"/>
        <w:rPr>
          <w:rFonts w:ascii="仿宋_GB2312" w:eastAsia="仿宋_GB2312"/>
          <w:b/>
          <w:bCs/>
          <w:color w:val="000000"/>
          <w:sz w:val="32"/>
          <w:szCs w:val="32"/>
          <w:shd w:val="clear" w:color="auto" w:fill="ffffff"/>
        </w:rPr>
      </w:pPr>
      <w:r>
        <w:rPr>
          <w:rFonts w:hint="eastAsia" w:ascii="仿宋_GB2312" w:eastAsia="仿宋_GB2312"/>
          <w:b/>
          <w:bCs/>
          <w:color w:val="000000"/>
          <w:sz w:val="32"/>
          <w:szCs w:val="32"/>
          <w:shd w:val="clear" w:color="auto" w:fill="ffffff"/>
        </w:rPr>
        <w:t xml:space="preserve">2</w:t>
      </w:r>
      <w:r>
        <w:rPr>
          <w:rFonts w:ascii="仿宋_GB2312" w:eastAsia="仿宋_GB2312"/>
          <w:b/>
          <w:bCs/>
          <w:color w:val="000000"/>
          <w:sz w:val="32"/>
          <w:szCs w:val="32"/>
          <w:shd w:val="clear" w:color="auto" w:fill="ffffff"/>
        </w:rPr>
        <w:t xml:space="preserve">.</w:t>
      </w:r>
      <w:r>
        <w:rPr>
          <w:rFonts w:hint="eastAsia" w:ascii="仿宋_GB2312" w:eastAsia="仿宋_GB2312"/>
          <w:b/>
          <w:bCs/>
          <w:color w:val="000000"/>
          <w:sz w:val="32"/>
          <w:szCs w:val="32"/>
          <w:shd w:val="clear" w:color="auto" w:fill="ffffff"/>
        </w:rPr>
        <w:t xml:space="preserve">实现全面覆盖，加大整改力度</w:t>
      </w:r>
      <w:r>
        <w:rPr>
          <w:rFonts w:ascii="仿宋_GB2312" w:eastAsia="仿宋_GB2312"/>
          <w:b/>
          <w:bCs/>
          <w:color w:val="000000"/>
          <w:sz w:val="32"/>
          <w:szCs w:val="32"/>
          <w:shd w:val="clear" w:color="auto" w:fill="ffffff"/>
        </w:rPr>
      </w:r>
      <w:r>
        <w:rPr>
          <w:rFonts w:ascii="仿宋_GB2312" w:eastAsia="仿宋_GB2312"/>
          <w:b/>
          <w:bCs/>
          <w:color w:val="000000"/>
          <w:sz w:val="32"/>
          <w:szCs w:val="32"/>
          <w:shd w:val="clear" w:color="auto" w:fill="ffffff"/>
        </w:rPr>
      </w:r>
    </w:p>
    <w:p>
      <w:pPr>
        <w:pStyle w:val="633"/>
        <w:pBdr/>
        <w:spacing w:line="560" w:lineRule="exact"/>
        <w:ind w:firstLine="640"/>
        <w:rPr>
          <w:rFonts w:ascii="仿宋_GB2312" w:hAnsi="仿宋" w:eastAsia="仿宋_GB2312"/>
          <w:sz w:val="32"/>
          <w:szCs w:val="32"/>
        </w:rPr>
      </w:pPr>
      <w:r>
        <w:rPr>
          <w:rFonts w:hint="eastAsia" w:ascii="仿宋_GB2312" w:hAnsi="仿宋" w:eastAsia="仿宋_GB2312"/>
          <w:sz w:val="32"/>
          <w:szCs w:val="32"/>
        </w:rPr>
        <w:t xml:space="preserve">加大主网安全防护设施的升级改造力度，加快在配电网等边缘地带贯彻落实《电力监控系统安全防护规定》等有关安全防护要求，消除安全防护死角。加大对在运电力工控系统和安全防护措施的升级改造力度。</w:t>
      </w:r>
      <w:r>
        <w:rPr>
          <w:rFonts w:ascii="仿宋_GB2312" w:hAnsi="仿宋" w:eastAsia="仿宋_GB2312"/>
          <w:sz w:val="32"/>
          <w:szCs w:val="32"/>
        </w:rPr>
      </w:r>
      <w:r>
        <w:rPr>
          <w:rFonts w:ascii="仿宋_GB2312" w:hAnsi="仿宋" w:eastAsia="仿宋_GB2312"/>
          <w:sz w:val="32"/>
          <w:szCs w:val="32"/>
        </w:rPr>
      </w:r>
    </w:p>
    <w:p>
      <w:pPr>
        <w:pStyle w:val="633"/>
        <w:pBdr/>
        <w:spacing w:line="560" w:lineRule="exact"/>
        <w:ind w:firstLine="643"/>
        <w:rPr>
          <w:rFonts w:ascii="仿宋_GB2312" w:eastAsia="仿宋_GB2312"/>
          <w:b/>
          <w:bCs/>
          <w:color w:val="000000"/>
          <w:sz w:val="32"/>
          <w:szCs w:val="32"/>
          <w:shd w:val="clear" w:color="auto" w:fill="ffffff"/>
        </w:rPr>
      </w:pPr>
      <w:r>
        <w:rPr>
          <w:rFonts w:hint="eastAsia" w:ascii="仿宋_GB2312" w:eastAsia="仿宋_GB2312"/>
          <w:b/>
          <w:bCs/>
          <w:color w:val="000000"/>
          <w:sz w:val="32"/>
          <w:szCs w:val="32"/>
          <w:shd w:val="clear" w:color="auto" w:fill="ffffff"/>
        </w:rPr>
        <w:t xml:space="preserve">3</w:t>
      </w:r>
      <w:r>
        <w:rPr>
          <w:rFonts w:ascii="仿宋_GB2312" w:eastAsia="仿宋_GB2312"/>
          <w:b/>
          <w:bCs/>
          <w:color w:val="000000"/>
          <w:sz w:val="32"/>
          <w:szCs w:val="32"/>
          <w:shd w:val="clear" w:color="auto" w:fill="ffffff"/>
        </w:rPr>
        <w:t xml:space="preserve">.</w:t>
      </w:r>
      <w:r>
        <w:rPr>
          <w:rFonts w:hint="eastAsia" w:ascii="仿宋_GB2312" w:eastAsia="仿宋_GB2312"/>
          <w:b/>
          <w:bCs/>
          <w:color w:val="000000"/>
          <w:sz w:val="32"/>
          <w:szCs w:val="32"/>
          <w:shd w:val="clear" w:color="auto" w:fill="ffffff"/>
        </w:rPr>
        <w:t xml:space="preserve">强化网络安全管理，规范安全评测评估</w:t>
      </w:r>
      <w:r>
        <w:rPr>
          <w:rFonts w:ascii="仿宋_GB2312" w:eastAsia="仿宋_GB2312"/>
          <w:b/>
          <w:bCs/>
          <w:color w:val="000000"/>
          <w:sz w:val="32"/>
          <w:szCs w:val="32"/>
          <w:shd w:val="clear" w:color="auto" w:fill="ffffff"/>
        </w:rPr>
      </w:r>
      <w:r>
        <w:rPr>
          <w:rFonts w:ascii="仿宋_GB2312" w:eastAsia="仿宋_GB2312"/>
          <w:b/>
          <w:bCs/>
          <w:color w:val="000000"/>
          <w:sz w:val="32"/>
          <w:szCs w:val="32"/>
          <w:shd w:val="clear" w:color="auto" w:fill="ffffff"/>
        </w:rPr>
      </w:r>
    </w:p>
    <w:p>
      <w:pPr>
        <w:pStyle w:val="633"/>
        <w:pBdr/>
        <w:spacing w:line="560" w:lineRule="exact"/>
        <w:ind w:firstLine="640"/>
        <w:rPr>
          <w:rFonts w:ascii="仿宋_GB2312" w:hAnsi="仿宋" w:eastAsia="仿宋_GB2312"/>
          <w:sz w:val="32"/>
          <w:szCs w:val="32"/>
        </w:rPr>
      </w:pPr>
      <w:r>
        <w:rPr>
          <w:rFonts w:hint="eastAsia" w:ascii="仿宋_GB2312" w:hAnsi="仿宋" w:eastAsia="仿宋_GB2312"/>
          <w:sz w:val="32"/>
          <w:szCs w:val="32"/>
        </w:rPr>
        <w:t xml:space="preserve">强化对全体人员、全部设备、全生命周期的全方位网络安全管理，将网络安全融入电力生产安全管理体系和监督体系。完善电力行业信息安全等级保护测评标准和规范，加强信息安全等级保护测评机构和测评力量建设。</w:t>
      </w:r>
      <w:r>
        <w:rPr>
          <w:rFonts w:ascii="仿宋_GB2312" w:hAnsi="仿宋" w:eastAsia="仿宋_GB2312"/>
          <w:sz w:val="32"/>
          <w:szCs w:val="32"/>
        </w:rPr>
      </w:r>
      <w:r>
        <w:rPr>
          <w:rFonts w:ascii="仿宋_GB2312" w:hAnsi="仿宋" w:eastAsia="仿宋_GB2312"/>
          <w:sz w:val="32"/>
          <w:szCs w:val="32"/>
        </w:rPr>
      </w:r>
    </w:p>
    <w:p>
      <w:pPr>
        <w:pStyle w:val="633"/>
        <w:pBdr/>
        <w:spacing w:line="560" w:lineRule="exact"/>
        <w:ind w:firstLine="643"/>
        <w:rPr>
          <w:rFonts w:ascii="仿宋_GB2312" w:eastAsia="仿宋_GB2312"/>
          <w:b/>
          <w:bCs/>
          <w:color w:val="000000"/>
          <w:sz w:val="32"/>
          <w:szCs w:val="32"/>
          <w:shd w:val="clear" w:color="auto" w:fill="ffffff"/>
        </w:rPr>
      </w:pPr>
      <w:r>
        <w:rPr>
          <w:rFonts w:hint="eastAsia" w:ascii="仿宋_GB2312" w:eastAsia="仿宋_GB2312"/>
          <w:b/>
          <w:bCs/>
          <w:color w:val="000000"/>
          <w:sz w:val="32"/>
          <w:szCs w:val="32"/>
          <w:shd w:val="clear" w:color="auto" w:fill="ffffff"/>
        </w:rPr>
        <w:t xml:space="preserve">4</w:t>
      </w:r>
      <w:r>
        <w:rPr>
          <w:rFonts w:ascii="仿宋_GB2312" w:eastAsia="仿宋_GB2312"/>
          <w:b/>
          <w:bCs/>
          <w:color w:val="000000"/>
          <w:sz w:val="32"/>
          <w:szCs w:val="32"/>
          <w:shd w:val="clear" w:color="auto" w:fill="ffffff"/>
        </w:rPr>
        <w:t xml:space="preserve">.</w:t>
      </w:r>
      <w:r>
        <w:rPr>
          <w:rFonts w:hint="eastAsia" w:ascii="仿宋_GB2312" w:eastAsia="仿宋_GB2312"/>
          <w:b/>
          <w:bCs/>
          <w:color w:val="000000"/>
          <w:sz w:val="32"/>
          <w:szCs w:val="32"/>
          <w:shd w:val="clear" w:color="auto" w:fill="ffffff"/>
        </w:rPr>
        <w:t xml:space="preserve">研究网络安全新技术，保障新型业务安全</w:t>
      </w:r>
      <w:r>
        <w:rPr>
          <w:rFonts w:ascii="仿宋_GB2312" w:eastAsia="仿宋_GB2312"/>
          <w:b/>
          <w:bCs/>
          <w:color w:val="000000"/>
          <w:sz w:val="32"/>
          <w:szCs w:val="32"/>
          <w:shd w:val="clear" w:color="auto" w:fill="ffffff"/>
        </w:rPr>
      </w:r>
      <w:r>
        <w:rPr>
          <w:rFonts w:ascii="仿宋_GB2312" w:eastAsia="仿宋_GB2312"/>
          <w:b/>
          <w:bCs/>
          <w:color w:val="000000"/>
          <w:sz w:val="32"/>
          <w:szCs w:val="32"/>
          <w:shd w:val="clear" w:color="auto" w:fill="ffffff"/>
        </w:rPr>
      </w:r>
    </w:p>
    <w:p>
      <w:pPr>
        <w:pStyle w:val="633"/>
        <w:pBdr/>
        <w:spacing w:line="560" w:lineRule="exact"/>
        <w:ind w:firstLine="640"/>
        <w:rPr>
          <w:rFonts w:ascii="仿宋_GB2312" w:hAnsi="仿宋" w:eastAsia="仿宋_GB2312"/>
          <w:sz w:val="32"/>
          <w:szCs w:val="32"/>
        </w:rPr>
      </w:pPr>
      <w:r>
        <w:rPr>
          <w:rFonts w:hint="eastAsia" w:ascii="仿宋_GB2312" w:hAnsi="仿宋" w:eastAsia="仿宋_GB2312"/>
          <w:sz w:val="32"/>
          <w:szCs w:val="32"/>
        </w:rPr>
        <w:t xml:space="preserve">建立健全云计算、物联网、大数据、移动通信等新业务网络安全防范工作机制，明确主体责任，加强安全审查测评，保证新业务安全防范水平。</w:t>
      </w:r>
      <w:r>
        <w:rPr>
          <w:rFonts w:ascii="仿宋_GB2312" w:hAnsi="仿宋" w:eastAsia="仿宋_GB2312"/>
          <w:sz w:val="32"/>
          <w:szCs w:val="32"/>
        </w:rPr>
      </w:r>
      <w:r>
        <w:rPr>
          <w:rFonts w:ascii="仿宋_GB2312" w:hAnsi="仿宋" w:eastAsia="仿宋_GB2312"/>
          <w:sz w:val="32"/>
          <w:szCs w:val="32"/>
        </w:rPr>
      </w:r>
    </w:p>
    <w:p>
      <w:pPr>
        <w:pStyle w:val="633"/>
        <w:pBdr/>
        <w:spacing w:line="560" w:lineRule="exact"/>
        <w:ind w:firstLine="643"/>
        <w:rPr>
          <w:rFonts w:hint="eastAsia" w:ascii="仿宋_GB2312" w:eastAsia="仿宋_GB2312"/>
          <w:b/>
          <w:bCs/>
          <w:color w:val="000000"/>
          <w:sz w:val="32"/>
          <w:szCs w:val="32"/>
          <w:shd w:val="clear" w:color="auto" w:fill="ffffff"/>
        </w:rPr>
      </w:pPr>
      <w:r>
        <w:rPr>
          <w:rFonts w:hint="eastAsia" w:ascii="仿宋_GB2312" w:eastAsia="仿宋_GB2312"/>
          <w:b/>
          <w:bCs/>
          <w:color w:val="000000"/>
          <w:sz w:val="32"/>
          <w:szCs w:val="32"/>
          <w:shd w:val="clear" w:color="auto" w:fill="ffffff"/>
        </w:rPr>
        <w:t xml:space="preserve">5.建立网络安全审查制度，强化网络安全技术监督</w:t>
      </w:r>
      <w:r>
        <w:rPr>
          <w:rFonts w:hint="eastAsia" w:ascii="仿宋_GB2312" w:eastAsia="仿宋_GB2312"/>
          <w:b/>
          <w:bCs/>
          <w:color w:val="000000"/>
          <w:sz w:val="32"/>
          <w:szCs w:val="32"/>
          <w:shd w:val="clear" w:color="auto" w:fill="ffffff"/>
        </w:rPr>
      </w:r>
      <w:r>
        <w:rPr>
          <w:rFonts w:hint="eastAsia" w:ascii="仿宋_GB2312" w:eastAsia="仿宋_GB2312"/>
          <w:b/>
          <w:bCs/>
          <w:color w:val="000000"/>
          <w:sz w:val="32"/>
          <w:szCs w:val="32"/>
          <w:shd w:val="clear" w:color="auto" w:fill="ffffff"/>
        </w:rPr>
      </w:r>
    </w:p>
    <w:p>
      <w:pPr>
        <w:pStyle w:val="633"/>
        <w:pBdr/>
        <w:spacing w:line="560" w:lineRule="exact"/>
        <w:ind w:firstLine="640"/>
        <w:outlineLvl w:val="2"/>
        <w:rPr>
          <w:rFonts w:hint="eastAsia" w:ascii="仿宋_GB2312" w:hAnsi="仿宋" w:eastAsia="仿宋_GB2312"/>
          <w:sz w:val="32"/>
          <w:szCs w:val="32"/>
        </w:rPr>
      </w:pPr>
      <w:r>
        <w:rPr>
          <w:rFonts w:hint="eastAsia" w:ascii="仿宋_GB2312" w:hAnsi="仿宋" w:eastAsia="仿宋_GB2312"/>
          <w:sz w:val="32"/>
          <w:szCs w:val="32"/>
        </w:rPr>
        <w:t xml:space="preserve">健全和完善电力行业网络安全标准体系和审查制度，强化网络安全技术监督，规范电力监控系统安全防护风险评估；完善电力监控系统安全防护体系，加强全网安全监测预警和应急响应机制。</w:t>
      </w:r>
      <w:r>
        <w:rPr>
          <w:rFonts w:hint="eastAsia" w:ascii="仿宋_GB2312" w:hAnsi="仿宋" w:eastAsia="仿宋_GB2312"/>
          <w:sz w:val="32"/>
          <w:szCs w:val="32"/>
        </w:rPr>
      </w:r>
      <w:r>
        <w:rPr>
          <w:rFonts w:hint="eastAsia" w:ascii="仿宋_GB2312" w:hAnsi="仿宋" w:eastAsia="仿宋_GB2312"/>
          <w:sz w:val="32"/>
          <w:szCs w:val="32"/>
        </w:rPr>
      </w:r>
    </w:p>
    <w:p>
      <w:pPr>
        <w:pStyle w:val="633"/>
        <w:pBdr/>
        <w:spacing w:line="560" w:lineRule="exact"/>
        <w:ind w:firstLine="643"/>
        <w:outlineLvl w:val="1"/>
        <w:rPr>
          <w:rFonts w:hint="eastAsia" w:ascii="楷体" w:hAnsi="楷体" w:eastAsia="楷体"/>
          <w:b/>
          <w:sz w:val="32"/>
          <w:szCs w:val="32"/>
        </w:rPr>
      </w:pPr>
      <w:r>
        <w:rPr>
          <w:rFonts w:hint="eastAsia" w:ascii="楷体" w:hAnsi="楷体" w:eastAsia="楷体"/>
          <w:b/>
          <w:sz w:val="32"/>
          <w:szCs w:val="32"/>
        </w:rPr>
        <w:t xml:space="preserve">（六）提高应急救援处置能力</w:t>
      </w:r>
      <w:r>
        <w:rPr>
          <w:rFonts w:hint="eastAsia" w:ascii="楷体" w:hAnsi="楷体" w:eastAsia="楷体"/>
          <w:b/>
          <w:sz w:val="32"/>
          <w:szCs w:val="32"/>
        </w:rPr>
      </w:r>
      <w:r>
        <w:rPr>
          <w:rFonts w:hint="eastAsia" w:ascii="楷体" w:hAnsi="楷体" w:eastAsia="楷体"/>
          <w:b/>
          <w:sz w:val="32"/>
          <w:szCs w:val="32"/>
        </w:rPr>
      </w:r>
    </w:p>
    <w:p>
      <w:pPr>
        <w:pStyle w:val="633"/>
        <w:pBdr/>
        <w:spacing w:line="560" w:lineRule="exact"/>
        <w:ind w:firstLine="643"/>
        <w:rPr>
          <w:rFonts w:ascii="仿宋_GB2312" w:eastAsia="仿宋_GB2312"/>
          <w:b/>
          <w:bCs/>
          <w:color w:val="000000"/>
          <w:sz w:val="32"/>
          <w:szCs w:val="32"/>
          <w:shd w:val="clear" w:color="auto" w:fill="ffffff"/>
        </w:rPr>
      </w:pPr>
      <w:r/>
      <w:bookmarkStart w:id="1" w:name="_Toc478483987"/>
      <w:r/>
      <w:bookmarkStart w:id="2" w:name="_Toc477860945"/>
      <w:r/>
      <w:bookmarkStart w:id="3" w:name="_Toc477528934"/>
      <w:r>
        <w:rPr>
          <w:rFonts w:ascii="仿宋_GB2312" w:eastAsia="仿宋_GB2312"/>
          <w:b/>
          <w:bCs/>
          <w:color w:val="000000"/>
          <w:sz w:val="32"/>
          <w:szCs w:val="32"/>
          <w:shd w:val="clear" w:color="auto" w:fill="ffffff"/>
        </w:rPr>
        <w:t xml:space="preserve">1.</w:t>
      </w:r>
      <w:r>
        <w:rPr>
          <w:rFonts w:hint="eastAsia" w:ascii="仿宋_GB2312" w:eastAsia="仿宋_GB2312"/>
          <w:b/>
          <w:bCs/>
          <w:color w:val="000000"/>
          <w:sz w:val="32"/>
          <w:szCs w:val="32"/>
          <w:shd w:val="clear" w:color="auto" w:fill="ffffff"/>
        </w:rPr>
        <w:t xml:space="preserve">完善应急管理体制</w:t>
      </w:r>
      <w:r>
        <w:rPr>
          <w:rFonts w:ascii="仿宋_GB2312" w:eastAsia="仿宋_GB2312"/>
          <w:b/>
          <w:bCs/>
          <w:color w:val="000000"/>
          <w:sz w:val="32"/>
          <w:szCs w:val="32"/>
          <w:shd w:val="clear" w:color="auto" w:fill="ffffff"/>
        </w:rPr>
      </w:r>
      <w:r>
        <w:rPr>
          <w:rFonts w:ascii="仿宋_GB2312" w:eastAsia="仿宋_GB2312"/>
          <w:b/>
          <w:bCs/>
          <w:color w:val="000000"/>
          <w:sz w:val="32"/>
          <w:szCs w:val="32"/>
          <w:shd w:val="clear" w:color="auto" w:fill="ffffff"/>
        </w:rPr>
      </w:r>
    </w:p>
    <w:p>
      <w:pPr>
        <w:pStyle w:val="633"/>
        <w:pBdr/>
        <w:spacing w:line="560" w:lineRule="exact"/>
        <w:ind w:firstLine="640"/>
        <w:rPr>
          <w:rFonts w:ascii="仿宋_GB2312" w:hAnsi="仿宋" w:eastAsia="仿宋_GB2312"/>
          <w:sz w:val="32"/>
          <w:szCs w:val="32"/>
        </w:rPr>
      </w:pPr>
      <w:r>
        <w:rPr>
          <w:rFonts w:hint="eastAsia" w:ascii="仿宋_GB2312" w:hAnsi="仿宋" w:eastAsia="仿宋_GB2312"/>
          <w:sz w:val="32"/>
          <w:szCs w:val="32"/>
        </w:rPr>
        <w:t xml:space="preserve">按照统一领导、综合协调、属地为主、分工负责的原则，完善国家指导协调、地方政府属地指挥、企业具体负责、社会各界广泛参与的电力应急管理体制。加强各级应急指挥机构和应急管理机构建设，明确责任分工，落实资金与装备保障。</w:t>
      </w:r>
      <w:r>
        <w:rPr>
          <w:rFonts w:ascii="仿宋_GB2312" w:hAnsi="仿宋" w:eastAsia="仿宋_GB2312"/>
          <w:sz w:val="32"/>
          <w:szCs w:val="32"/>
        </w:rPr>
      </w:r>
      <w:r>
        <w:rPr>
          <w:rFonts w:ascii="仿宋_GB2312" w:hAnsi="仿宋" w:eastAsia="仿宋_GB2312"/>
          <w:sz w:val="32"/>
          <w:szCs w:val="32"/>
        </w:rPr>
      </w:r>
    </w:p>
    <w:p>
      <w:pPr>
        <w:pStyle w:val="633"/>
        <w:pBdr/>
        <w:spacing w:line="560" w:lineRule="exact"/>
        <w:ind w:firstLine="643"/>
        <w:rPr>
          <w:rFonts w:ascii="仿宋_GB2312" w:eastAsia="仿宋_GB2312"/>
          <w:b/>
          <w:bCs/>
          <w:color w:val="000000"/>
          <w:sz w:val="32"/>
          <w:szCs w:val="32"/>
          <w:shd w:val="clear" w:color="auto" w:fill="ffffff"/>
        </w:rPr>
      </w:pPr>
      <w:r>
        <w:rPr>
          <w:rFonts w:ascii="仿宋_GB2312" w:eastAsia="仿宋_GB2312"/>
          <w:b/>
          <w:bCs/>
          <w:color w:val="000000"/>
          <w:sz w:val="32"/>
          <w:szCs w:val="32"/>
          <w:shd w:val="clear" w:color="auto" w:fill="ffffff"/>
        </w:rPr>
        <w:t xml:space="preserve">2.</w:t>
      </w:r>
      <w:r>
        <w:rPr>
          <w:rFonts w:hint="eastAsia" w:ascii="仿宋_GB2312" w:eastAsia="仿宋_GB2312"/>
          <w:b/>
          <w:bCs/>
          <w:color w:val="000000"/>
          <w:sz w:val="32"/>
          <w:szCs w:val="32"/>
          <w:shd w:val="clear" w:color="auto" w:fill="ffffff"/>
        </w:rPr>
        <w:t xml:space="preserve">健全应急管理机制</w:t>
      </w:r>
      <w:r>
        <w:rPr>
          <w:rFonts w:ascii="仿宋_GB2312" w:eastAsia="仿宋_GB2312"/>
          <w:b/>
          <w:bCs/>
          <w:color w:val="000000"/>
          <w:sz w:val="32"/>
          <w:szCs w:val="32"/>
          <w:shd w:val="clear" w:color="auto" w:fill="ffffff"/>
        </w:rPr>
      </w:r>
      <w:r>
        <w:rPr>
          <w:rFonts w:ascii="仿宋_GB2312" w:eastAsia="仿宋_GB2312"/>
          <w:b/>
          <w:bCs/>
          <w:color w:val="000000"/>
          <w:sz w:val="32"/>
          <w:szCs w:val="32"/>
          <w:shd w:val="clear" w:color="auto" w:fill="ffffff"/>
        </w:rPr>
      </w:r>
    </w:p>
    <w:p>
      <w:pPr>
        <w:pStyle w:val="633"/>
        <w:pBdr/>
        <w:spacing w:line="560" w:lineRule="exact"/>
        <w:ind w:firstLine="640"/>
        <w:rPr>
          <w:rFonts w:ascii="仿宋_GB2312" w:hAnsi="仿宋" w:eastAsia="仿宋_GB2312"/>
          <w:sz w:val="32"/>
          <w:szCs w:val="32"/>
        </w:rPr>
      </w:pPr>
      <w:r>
        <w:rPr>
          <w:rFonts w:hint="eastAsia" w:ascii="仿宋_GB2312" w:hAnsi="仿宋" w:eastAsia="仿宋_GB2312"/>
          <w:sz w:val="32"/>
          <w:szCs w:val="32"/>
        </w:rPr>
        <w:t xml:space="preserve">加强预警信息共享机制建设，建立应急会商制度，以科技手段提升监测预警能力；建立协同联动机制，开展跨省跨区电力应急合作，形成应急信息、资源的区域共享；完善灾后评估机制，科学指导灾后恢复重建工作。</w:t>
      </w:r>
      <w:r>
        <w:rPr>
          <w:rFonts w:ascii="仿宋_GB2312" w:hAnsi="仿宋" w:eastAsia="仿宋_GB2312"/>
          <w:sz w:val="32"/>
          <w:szCs w:val="32"/>
        </w:rPr>
      </w:r>
      <w:r>
        <w:rPr>
          <w:rFonts w:ascii="仿宋_GB2312" w:hAnsi="仿宋" w:eastAsia="仿宋_GB2312"/>
          <w:sz w:val="32"/>
          <w:szCs w:val="32"/>
        </w:rPr>
      </w:r>
    </w:p>
    <w:p>
      <w:pPr>
        <w:pStyle w:val="633"/>
        <w:pBdr/>
        <w:spacing w:line="560" w:lineRule="exact"/>
        <w:ind w:firstLine="643"/>
        <w:rPr>
          <w:rFonts w:ascii="仿宋_GB2312" w:eastAsia="仿宋_GB2312"/>
          <w:b/>
          <w:bCs/>
          <w:color w:val="000000"/>
          <w:sz w:val="32"/>
          <w:szCs w:val="32"/>
          <w:shd w:val="clear" w:color="auto" w:fill="ffffff"/>
        </w:rPr>
      </w:pPr>
      <w:r>
        <w:rPr>
          <w:rFonts w:ascii="仿宋_GB2312" w:eastAsia="仿宋_GB2312"/>
          <w:b/>
          <w:bCs/>
          <w:color w:val="000000"/>
          <w:sz w:val="32"/>
          <w:szCs w:val="32"/>
          <w:shd w:val="clear" w:color="auto" w:fill="ffffff"/>
        </w:rPr>
        <w:t xml:space="preserve">3.</w:t>
      </w:r>
      <w:r>
        <w:rPr>
          <w:rFonts w:hint="eastAsia" w:ascii="仿宋_GB2312" w:eastAsia="仿宋_GB2312"/>
          <w:b/>
          <w:bCs/>
          <w:color w:val="000000"/>
          <w:sz w:val="32"/>
          <w:szCs w:val="32"/>
          <w:shd w:val="clear" w:color="auto" w:fill="ffffff"/>
        </w:rPr>
        <w:t xml:space="preserve">加强应急预案管理</w:t>
      </w:r>
      <w:r>
        <w:rPr>
          <w:rFonts w:ascii="仿宋_GB2312" w:eastAsia="仿宋_GB2312"/>
          <w:b/>
          <w:bCs/>
          <w:color w:val="000000"/>
          <w:sz w:val="32"/>
          <w:szCs w:val="32"/>
          <w:shd w:val="clear" w:color="auto" w:fill="ffffff"/>
        </w:rPr>
      </w:r>
      <w:r>
        <w:rPr>
          <w:rFonts w:ascii="仿宋_GB2312" w:eastAsia="仿宋_GB2312"/>
          <w:b/>
          <w:bCs/>
          <w:color w:val="000000"/>
          <w:sz w:val="32"/>
          <w:szCs w:val="32"/>
          <w:shd w:val="clear" w:color="auto" w:fill="ffffff"/>
        </w:rPr>
      </w:r>
    </w:p>
    <w:p>
      <w:pPr>
        <w:pStyle w:val="633"/>
        <w:pBdr/>
        <w:spacing w:line="560" w:lineRule="exact"/>
        <w:ind w:firstLine="640"/>
        <w:rPr>
          <w:rFonts w:ascii="仿宋_GB2312" w:hAnsi="仿宋" w:eastAsia="仿宋_GB2312"/>
          <w:sz w:val="32"/>
          <w:szCs w:val="32"/>
        </w:rPr>
      </w:pPr>
      <w:r>
        <w:rPr>
          <w:rFonts w:hint="eastAsia" w:ascii="仿宋_GB2312" w:hAnsi="仿宋" w:eastAsia="仿宋_GB2312"/>
          <w:sz w:val="32"/>
          <w:szCs w:val="32"/>
        </w:rPr>
        <w:t xml:space="preserve">健全应急预案体系，充分发挥预案在应急处置中的主导作用；注重预案情景构建，突出风险分析和应急资源能力评估，提高预案针对性和可操作性；推动应急演练常态化，创新演练模式，逐步实现桌面推演与实战演练、专项演练与综合演练、常态化演练与示范性演练相结合。</w:t>
      </w:r>
      <w:r>
        <w:rPr>
          <w:rFonts w:ascii="仿宋_GB2312" w:hAnsi="仿宋" w:eastAsia="仿宋_GB2312"/>
          <w:sz w:val="32"/>
          <w:szCs w:val="32"/>
        </w:rPr>
      </w:r>
      <w:r>
        <w:rPr>
          <w:rFonts w:ascii="仿宋_GB2312" w:hAnsi="仿宋" w:eastAsia="仿宋_GB2312"/>
          <w:sz w:val="32"/>
          <w:szCs w:val="32"/>
        </w:rPr>
      </w:r>
    </w:p>
    <w:p>
      <w:pPr>
        <w:pStyle w:val="633"/>
        <w:pBdr/>
        <w:spacing w:line="560" w:lineRule="exact"/>
        <w:ind w:firstLine="643"/>
        <w:rPr>
          <w:rFonts w:ascii="仿宋_GB2312" w:eastAsia="仿宋_GB2312"/>
          <w:b/>
          <w:bCs/>
          <w:color w:val="000000"/>
          <w:sz w:val="32"/>
          <w:szCs w:val="32"/>
          <w:shd w:val="clear" w:color="auto" w:fill="ffffff"/>
        </w:rPr>
      </w:pPr>
      <w:r>
        <w:rPr>
          <w:rFonts w:ascii="仿宋_GB2312" w:eastAsia="仿宋_GB2312"/>
          <w:b/>
          <w:bCs/>
          <w:color w:val="000000"/>
          <w:sz w:val="32"/>
          <w:szCs w:val="32"/>
          <w:shd w:val="clear" w:color="auto" w:fill="ffffff"/>
        </w:rPr>
        <w:t xml:space="preserve">4.</w:t>
      </w:r>
      <w:r>
        <w:rPr>
          <w:rFonts w:hint="eastAsia" w:ascii="仿宋_GB2312" w:eastAsia="仿宋_GB2312"/>
          <w:b/>
          <w:bCs/>
          <w:color w:val="000000"/>
          <w:sz w:val="32"/>
          <w:szCs w:val="32"/>
          <w:shd w:val="clear" w:color="auto" w:fill="ffffff"/>
        </w:rPr>
        <w:t xml:space="preserve">加强应急处置能力建设</w:t>
      </w:r>
      <w:r>
        <w:rPr>
          <w:rFonts w:ascii="仿宋_GB2312" w:eastAsia="仿宋_GB2312"/>
          <w:b/>
          <w:bCs/>
          <w:color w:val="000000"/>
          <w:sz w:val="32"/>
          <w:szCs w:val="32"/>
          <w:shd w:val="clear" w:color="auto" w:fill="ffffff"/>
        </w:rPr>
      </w:r>
      <w:r>
        <w:rPr>
          <w:rFonts w:ascii="仿宋_GB2312" w:eastAsia="仿宋_GB2312"/>
          <w:b/>
          <w:bCs/>
          <w:color w:val="000000"/>
          <w:sz w:val="32"/>
          <w:szCs w:val="32"/>
          <w:shd w:val="clear" w:color="auto" w:fill="ffffff"/>
        </w:rPr>
      </w:r>
    </w:p>
    <w:p>
      <w:pPr>
        <w:pStyle w:val="633"/>
        <w:pBdr/>
        <w:spacing w:line="560" w:lineRule="exact"/>
        <w:ind w:firstLine="640"/>
        <w:rPr>
          <w:rFonts w:ascii="仿宋_GB2312" w:hAnsi="仿宋" w:eastAsia="仿宋_GB2312"/>
          <w:sz w:val="32"/>
          <w:szCs w:val="32"/>
        </w:rPr>
      </w:pPr>
      <w:r>
        <w:rPr>
          <w:rFonts w:hint="eastAsia" w:ascii="仿宋_GB2312" w:hAnsi="仿宋" w:eastAsia="仿宋_GB2312"/>
          <w:sz w:val="32"/>
          <w:szCs w:val="32"/>
        </w:rPr>
        <w:t xml:space="preserve">加大应急保障能力的建设，健全应急救援设施、应急保障队伍、应急通信和应急经费保障等建设，提升极端情况下应急处置能力。</w:t>
      </w:r>
      <w:r>
        <w:rPr>
          <w:rFonts w:ascii="仿宋_GB2312" w:hAnsi="仿宋" w:eastAsia="仿宋_GB2312"/>
          <w:sz w:val="32"/>
          <w:szCs w:val="32"/>
        </w:rPr>
      </w:r>
      <w:r>
        <w:rPr>
          <w:rFonts w:ascii="仿宋_GB2312" w:hAnsi="仿宋" w:eastAsia="仿宋_GB2312"/>
          <w:sz w:val="32"/>
          <w:szCs w:val="32"/>
        </w:rPr>
      </w:r>
    </w:p>
    <w:p>
      <w:pPr>
        <w:pStyle w:val="633"/>
        <w:pBdr/>
        <w:spacing w:line="560" w:lineRule="exact"/>
        <w:ind w:firstLine="643"/>
        <w:outlineLvl w:val="1"/>
        <w:rPr>
          <w:rFonts w:hint="eastAsia" w:ascii="楷体" w:hAnsi="楷体" w:eastAsia="楷体"/>
          <w:b/>
          <w:sz w:val="32"/>
          <w:szCs w:val="32"/>
        </w:rPr>
      </w:pPr>
      <w:r/>
      <w:bookmarkEnd w:id="1"/>
      <w:r/>
      <w:bookmarkEnd w:id="2"/>
      <w:r/>
      <w:bookmarkEnd w:id="3"/>
      <w:r>
        <w:rPr>
          <w:rFonts w:hint="eastAsia" w:ascii="楷体" w:hAnsi="楷体" w:eastAsia="楷体"/>
          <w:b/>
          <w:sz w:val="32"/>
          <w:szCs w:val="32"/>
        </w:rPr>
        <w:t xml:space="preserve">（七）完善更加严密的责任体系</w:t>
      </w:r>
      <w:r>
        <w:rPr>
          <w:rFonts w:hint="eastAsia" w:ascii="楷体" w:hAnsi="楷体" w:eastAsia="楷体"/>
          <w:b/>
          <w:sz w:val="32"/>
          <w:szCs w:val="32"/>
        </w:rPr>
      </w:r>
      <w:r>
        <w:rPr>
          <w:rFonts w:hint="eastAsia" w:ascii="楷体" w:hAnsi="楷体" w:eastAsia="楷体"/>
          <w:b/>
          <w:sz w:val="32"/>
          <w:szCs w:val="32"/>
        </w:rPr>
      </w:r>
    </w:p>
    <w:p>
      <w:pPr>
        <w:pStyle w:val="633"/>
        <w:pBdr/>
        <w:spacing w:line="560" w:lineRule="exact"/>
        <w:ind w:firstLine="643"/>
        <w:rPr>
          <w:rFonts w:hint="eastAsia" w:ascii="仿宋_GB2312" w:eastAsia="仿宋_GB2312"/>
          <w:b/>
          <w:bCs/>
          <w:color w:val="000000"/>
          <w:sz w:val="32"/>
          <w:szCs w:val="32"/>
          <w:shd w:val="clear" w:color="auto" w:fill="ffffff"/>
        </w:rPr>
      </w:pPr>
      <w:r>
        <w:rPr>
          <w:rFonts w:hint="eastAsia" w:ascii="仿宋_GB2312" w:eastAsia="仿宋_GB2312"/>
          <w:b/>
          <w:bCs/>
          <w:color w:val="000000"/>
          <w:sz w:val="32"/>
          <w:szCs w:val="32"/>
          <w:shd w:val="clear" w:color="auto" w:fill="ffffff"/>
        </w:rPr>
        <w:t xml:space="preserve">1.构建清晰责任体系</w:t>
      </w:r>
      <w:r>
        <w:rPr>
          <w:rFonts w:hint="eastAsia" w:ascii="仿宋_GB2312" w:eastAsia="仿宋_GB2312"/>
          <w:b/>
          <w:bCs/>
          <w:color w:val="000000"/>
          <w:sz w:val="32"/>
          <w:szCs w:val="32"/>
          <w:shd w:val="clear" w:color="auto" w:fill="ffffff"/>
        </w:rPr>
      </w:r>
      <w:r>
        <w:rPr>
          <w:rFonts w:hint="eastAsia" w:ascii="仿宋_GB2312" w:eastAsia="仿宋_GB2312"/>
          <w:b/>
          <w:bCs/>
          <w:color w:val="000000"/>
          <w:sz w:val="32"/>
          <w:szCs w:val="32"/>
          <w:shd w:val="clear" w:color="auto" w:fill="ffffff"/>
        </w:rPr>
      </w:r>
    </w:p>
    <w:p>
      <w:pPr>
        <w:pStyle w:val="633"/>
        <w:pBdr/>
        <w:spacing w:line="560" w:lineRule="exact"/>
        <w:ind w:firstLine="640"/>
        <w:rPr>
          <w:rFonts w:ascii="仿宋_GB2312" w:hAnsi="仿宋" w:eastAsia="仿宋_GB2312"/>
          <w:sz w:val="32"/>
          <w:szCs w:val="32"/>
        </w:rPr>
      </w:pPr>
      <w:r>
        <w:rPr>
          <w:rFonts w:hint="eastAsia" w:ascii="仿宋_GB2312" w:hAnsi="仿宋" w:eastAsia="仿宋_GB2312"/>
          <w:sz w:val="32"/>
          <w:szCs w:val="32"/>
        </w:rPr>
        <w:t xml:space="preserve">落实“党政同责、一岗双责、齐抓共管、失职追责”的要求，谁主管，谁负责。电力行业监管部门依法依规制定电力安全监管权力和责任清单，优化形成横向到边、纵向到底、齐抓共管、边界清晰的监管责任工作机制。电力企业履行电力安全主体责任，建立并实施企业安全生产主体责任清单制度。</w:t>
      </w:r>
      <w:r>
        <w:rPr>
          <w:rFonts w:ascii="仿宋_GB2312" w:hAnsi="仿宋" w:eastAsia="仿宋_GB2312"/>
          <w:sz w:val="32"/>
          <w:szCs w:val="32"/>
        </w:rPr>
        <w:t xml:space="preserve"> </w:t>
      </w:r>
      <w:r>
        <w:rPr>
          <w:rFonts w:ascii="仿宋_GB2312" w:hAnsi="仿宋" w:eastAsia="仿宋_GB2312"/>
          <w:sz w:val="32"/>
          <w:szCs w:val="32"/>
        </w:rPr>
      </w:r>
      <w:r>
        <w:rPr>
          <w:rFonts w:ascii="仿宋_GB2312" w:hAnsi="仿宋" w:eastAsia="仿宋_GB2312"/>
          <w:sz w:val="32"/>
          <w:szCs w:val="32"/>
        </w:rPr>
      </w:r>
    </w:p>
    <w:p>
      <w:pPr>
        <w:pStyle w:val="633"/>
        <w:pBdr/>
        <w:spacing w:line="560" w:lineRule="exact"/>
        <w:ind w:firstLine="643"/>
        <w:rPr>
          <w:rFonts w:ascii="仿宋_GB2312" w:eastAsia="仿宋_GB2312"/>
          <w:b/>
          <w:bCs/>
          <w:color w:val="000000"/>
          <w:sz w:val="32"/>
          <w:szCs w:val="32"/>
          <w:shd w:val="clear" w:color="auto" w:fill="ffffff"/>
        </w:rPr>
      </w:pPr>
      <w:r>
        <w:rPr>
          <w:rFonts w:hint="eastAsia" w:ascii="仿宋_GB2312" w:eastAsia="仿宋_GB2312"/>
          <w:b/>
          <w:bCs/>
          <w:color w:val="000000"/>
          <w:sz w:val="32"/>
          <w:szCs w:val="32"/>
          <w:shd w:val="clear" w:color="auto" w:fill="ffffff"/>
        </w:rPr>
        <w:t xml:space="preserve">2</w:t>
      </w:r>
      <w:r>
        <w:rPr>
          <w:rFonts w:ascii="仿宋_GB2312" w:eastAsia="仿宋_GB2312"/>
          <w:b/>
          <w:bCs/>
          <w:color w:val="000000"/>
          <w:sz w:val="32"/>
          <w:szCs w:val="32"/>
          <w:shd w:val="clear" w:color="auto" w:fill="ffffff"/>
        </w:rPr>
        <w:t xml:space="preserve">.</w:t>
      </w:r>
      <w:r>
        <w:rPr>
          <w:rFonts w:hint="eastAsia" w:ascii="仿宋_GB2312" w:eastAsia="仿宋_GB2312"/>
          <w:b/>
          <w:bCs/>
          <w:color w:val="000000"/>
          <w:sz w:val="32"/>
          <w:szCs w:val="32"/>
          <w:shd w:val="clear" w:color="auto" w:fill="ffffff"/>
        </w:rPr>
        <w:t xml:space="preserve">落实企业主体责任</w:t>
      </w:r>
      <w:r>
        <w:rPr>
          <w:rFonts w:ascii="仿宋_GB2312" w:eastAsia="仿宋_GB2312"/>
          <w:b/>
          <w:bCs/>
          <w:color w:val="000000"/>
          <w:sz w:val="32"/>
          <w:szCs w:val="32"/>
          <w:shd w:val="clear" w:color="auto" w:fill="ffffff"/>
        </w:rPr>
      </w:r>
      <w:r>
        <w:rPr>
          <w:rFonts w:ascii="仿宋_GB2312" w:eastAsia="仿宋_GB2312"/>
          <w:b/>
          <w:bCs/>
          <w:color w:val="000000"/>
          <w:sz w:val="32"/>
          <w:szCs w:val="32"/>
          <w:shd w:val="clear" w:color="auto" w:fill="ffffff"/>
        </w:rPr>
      </w:r>
    </w:p>
    <w:p>
      <w:pPr>
        <w:pStyle w:val="633"/>
        <w:pBdr/>
        <w:spacing w:line="560" w:lineRule="exact"/>
        <w:ind w:firstLine="640"/>
        <w:rPr>
          <w:rFonts w:ascii="仿宋_GB2312" w:hAnsi="仿宋" w:eastAsia="仿宋_GB2312"/>
          <w:sz w:val="32"/>
          <w:szCs w:val="32"/>
        </w:rPr>
      </w:pPr>
      <w:r>
        <w:rPr>
          <w:rFonts w:hint="eastAsia" w:ascii="仿宋_GB2312" w:hAnsi="仿宋" w:eastAsia="仿宋_GB2312"/>
          <w:sz w:val="32"/>
          <w:szCs w:val="32"/>
        </w:rPr>
        <w:t xml:space="preserve">全面落实电力企业主要负责人和实际控制人安全生产第一责任</w:t>
      </w:r>
      <w:r>
        <w:rPr>
          <w:rFonts w:ascii="仿宋_GB2312" w:hAnsi="仿宋" w:eastAsia="仿宋_GB2312"/>
          <w:sz w:val="32"/>
          <w:szCs w:val="32"/>
        </w:rPr>
        <w:t xml:space="preserve">;</w:t>
      </w:r>
      <w:r>
        <w:rPr>
          <w:rFonts w:hint="eastAsia" w:ascii="仿宋_GB2312" w:hAnsi="仿宋" w:eastAsia="仿宋_GB2312"/>
          <w:sz w:val="32"/>
          <w:szCs w:val="32"/>
        </w:rPr>
        <w:t xml:space="preserve">完善各层级安全生产保障体系和监督体系；实施企业全员安全生产责任制，加强电力安全责任监督考核；完善企业安全生产教育培训制度；进一步完善安全风险管控体系；健全安全隐患排查治理机制；完善企业应急救援体系；严格执行新建改建扩建工程项目安全设施、职业健康“三同时”（同时设计、同时施工、同时投入生产和使用）制度；建立企业增加安全投入的激励约束机制，制定并落实安全生产费用提取和使用制度；积极推进企业安全文化建设。</w:t>
      </w:r>
      <w:r>
        <w:rPr>
          <w:rFonts w:ascii="仿宋_GB2312" w:hAnsi="仿宋" w:eastAsia="仿宋_GB2312"/>
          <w:sz w:val="32"/>
          <w:szCs w:val="32"/>
        </w:rPr>
      </w:r>
      <w:r>
        <w:rPr>
          <w:rFonts w:ascii="仿宋_GB2312" w:hAnsi="仿宋" w:eastAsia="仿宋_GB2312"/>
          <w:sz w:val="32"/>
          <w:szCs w:val="32"/>
        </w:rPr>
      </w:r>
    </w:p>
    <w:p>
      <w:pPr>
        <w:pStyle w:val="633"/>
        <w:pBdr/>
        <w:spacing w:line="560" w:lineRule="exact"/>
        <w:ind w:firstLine="643"/>
        <w:rPr>
          <w:rFonts w:ascii="仿宋_GB2312" w:eastAsia="仿宋_GB2312"/>
          <w:b/>
          <w:bCs/>
          <w:color w:val="000000"/>
          <w:sz w:val="32"/>
          <w:szCs w:val="32"/>
          <w:shd w:val="clear" w:color="auto" w:fill="ffffff"/>
        </w:rPr>
      </w:pPr>
      <w:r>
        <w:rPr>
          <w:rFonts w:hint="eastAsia" w:ascii="仿宋_GB2312" w:eastAsia="仿宋_GB2312"/>
          <w:b/>
          <w:bCs/>
          <w:color w:val="000000"/>
          <w:sz w:val="32"/>
          <w:szCs w:val="32"/>
          <w:shd w:val="clear" w:color="auto" w:fill="ffffff"/>
        </w:rPr>
        <w:t xml:space="preserve">3</w:t>
      </w:r>
      <w:r>
        <w:rPr>
          <w:rFonts w:ascii="仿宋_GB2312" w:eastAsia="仿宋_GB2312"/>
          <w:b/>
          <w:bCs/>
          <w:color w:val="000000"/>
          <w:sz w:val="32"/>
          <w:szCs w:val="32"/>
          <w:shd w:val="clear" w:color="auto" w:fill="ffffff"/>
        </w:rPr>
        <w:t xml:space="preserve">.</w:t>
      </w:r>
      <w:r>
        <w:rPr>
          <w:rFonts w:hint="eastAsia" w:ascii="仿宋_GB2312" w:eastAsia="仿宋_GB2312"/>
          <w:b/>
          <w:bCs/>
          <w:color w:val="000000"/>
          <w:sz w:val="32"/>
          <w:szCs w:val="32"/>
          <w:shd w:val="clear" w:color="auto" w:fill="ffffff"/>
        </w:rPr>
        <w:t xml:space="preserve">落实电力安全监管责任</w:t>
      </w:r>
      <w:r>
        <w:rPr>
          <w:rFonts w:ascii="仿宋_GB2312" w:eastAsia="仿宋_GB2312"/>
          <w:b/>
          <w:bCs/>
          <w:color w:val="000000"/>
          <w:sz w:val="32"/>
          <w:szCs w:val="32"/>
          <w:shd w:val="clear" w:color="auto" w:fill="ffffff"/>
        </w:rPr>
      </w:r>
      <w:r>
        <w:rPr>
          <w:rFonts w:ascii="仿宋_GB2312" w:eastAsia="仿宋_GB2312"/>
          <w:b/>
          <w:bCs/>
          <w:color w:val="000000"/>
          <w:sz w:val="32"/>
          <w:szCs w:val="32"/>
          <w:shd w:val="clear" w:color="auto" w:fill="ffffff"/>
        </w:rPr>
      </w:r>
    </w:p>
    <w:p>
      <w:pPr>
        <w:pStyle w:val="633"/>
        <w:pBdr/>
        <w:spacing w:line="560" w:lineRule="exact"/>
        <w:ind w:firstLine="640"/>
        <w:rPr>
          <w:rFonts w:ascii="仿宋_GB2312" w:hAnsi="仿宋" w:eastAsia="仿宋_GB2312"/>
          <w:sz w:val="32"/>
          <w:szCs w:val="32"/>
        </w:rPr>
      </w:pPr>
      <w:r>
        <w:rPr>
          <w:rFonts w:hint="eastAsia" w:ascii="仿宋_GB2312" w:hAnsi="仿宋" w:eastAsia="仿宋_GB2312"/>
          <w:sz w:val="32"/>
          <w:szCs w:val="32"/>
        </w:rPr>
        <w:t xml:space="preserve">完善电力安全监管体系，明确行业、区域和地方监管职责及范围，落实监管责任。国家能源局依法依规履行电力行业安全监管职责，组织、指导和协调全国电力安全生产监管工作；各派出能源监管机构根据国家规定职责和法律法规授权，履行电力安全监管职责；地方各级政府电力管理等有关部门依法依规履行地方电力安全管理责任，并配合派出能源监管机构，做好相关工作。负有安全生产监管职责的有关部门依法依规履行电力行业安全生产和职业健康监管职责，强化监管执法，查处违法违规行为。</w:t>
      </w:r>
      <w:r>
        <w:rPr>
          <w:rFonts w:ascii="仿宋_GB2312" w:hAnsi="仿宋" w:eastAsia="仿宋_GB2312"/>
          <w:sz w:val="32"/>
          <w:szCs w:val="32"/>
        </w:rPr>
      </w:r>
      <w:r>
        <w:rPr>
          <w:rFonts w:ascii="仿宋_GB2312" w:hAnsi="仿宋" w:eastAsia="仿宋_GB2312"/>
          <w:sz w:val="32"/>
          <w:szCs w:val="32"/>
        </w:rPr>
      </w:r>
    </w:p>
    <w:p>
      <w:pPr>
        <w:pStyle w:val="633"/>
        <w:pBdr/>
        <w:spacing w:line="560" w:lineRule="exact"/>
        <w:ind w:firstLine="643"/>
        <w:rPr>
          <w:rFonts w:ascii="仿宋_GB2312" w:eastAsia="仿宋_GB2312"/>
          <w:b/>
          <w:bCs/>
          <w:color w:val="000000"/>
          <w:sz w:val="32"/>
          <w:szCs w:val="32"/>
          <w:shd w:val="clear" w:color="auto" w:fill="ffffff"/>
        </w:rPr>
      </w:pPr>
      <w:r>
        <w:rPr>
          <w:rFonts w:hint="eastAsia" w:ascii="仿宋_GB2312" w:eastAsia="仿宋_GB2312"/>
          <w:b/>
          <w:bCs/>
          <w:color w:val="000000"/>
          <w:sz w:val="32"/>
          <w:szCs w:val="32"/>
          <w:shd w:val="clear" w:color="auto" w:fill="ffffff"/>
        </w:rPr>
        <w:t xml:space="preserve">4</w:t>
      </w:r>
      <w:r>
        <w:rPr>
          <w:rFonts w:ascii="仿宋_GB2312" w:eastAsia="仿宋_GB2312"/>
          <w:b/>
          <w:bCs/>
          <w:color w:val="000000"/>
          <w:sz w:val="32"/>
          <w:szCs w:val="32"/>
          <w:shd w:val="clear" w:color="auto" w:fill="ffffff"/>
        </w:rPr>
        <w:t xml:space="preserve">.</w:t>
      </w:r>
      <w:r>
        <w:rPr>
          <w:rFonts w:hint="eastAsia" w:ascii="仿宋_GB2312" w:eastAsia="仿宋_GB2312"/>
          <w:b/>
          <w:bCs/>
          <w:color w:val="000000"/>
          <w:sz w:val="32"/>
          <w:szCs w:val="32"/>
          <w:shd w:val="clear" w:color="auto" w:fill="ffffff"/>
        </w:rPr>
        <w:t xml:space="preserve">严格安全考核奖惩</w:t>
      </w:r>
      <w:r>
        <w:rPr>
          <w:rFonts w:ascii="仿宋_GB2312" w:eastAsia="仿宋_GB2312"/>
          <w:b/>
          <w:bCs/>
          <w:color w:val="000000"/>
          <w:sz w:val="32"/>
          <w:szCs w:val="32"/>
          <w:shd w:val="clear" w:color="auto" w:fill="ffffff"/>
        </w:rPr>
      </w:r>
      <w:r>
        <w:rPr>
          <w:rFonts w:ascii="仿宋_GB2312" w:eastAsia="仿宋_GB2312"/>
          <w:b/>
          <w:bCs/>
          <w:color w:val="000000"/>
          <w:sz w:val="32"/>
          <w:szCs w:val="32"/>
          <w:shd w:val="clear" w:color="auto" w:fill="ffffff"/>
        </w:rPr>
      </w:r>
    </w:p>
    <w:p>
      <w:pPr>
        <w:pStyle w:val="633"/>
        <w:pBdr/>
        <w:spacing w:line="560" w:lineRule="exact"/>
        <w:ind w:firstLine="640"/>
        <w:rPr>
          <w:rFonts w:ascii="仿宋_GB2312" w:hAnsi="仿宋" w:eastAsia="仿宋_GB2312"/>
          <w:sz w:val="32"/>
          <w:szCs w:val="32"/>
        </w:rPr>
      </w:pPr>
      <w:r>
        <w:rPr>
          <w:rFonts w:hint="eastAsia" w:ascii="仿宋_GB2312" w:hAnsi="仿宋" w:eastAsia="仿宋_GB2312"/>
          <w:sz w:val="32"/>
          <w:szCs w:val="32"/>
        </w:rPr>
        <w:t xml:space="preserve">进一步健全电力安全考核评价体系；建立电力安全绩效与履职评定、职务晋升、奖励惩处挂钩制度，落实电力安全“一票否决”制；健全以安全绩效为引导的动态薪酬管理制度，研究制定领导班子年度及离任专项安全履职评价考核制度，落实一岗双责考核机制；依法依规追责瞒报、谎报、漏报、迟报事故的单位和个人，完善企业安全生产不良记录制度，建立失信惩戒和守信激励机制。</w:t>
      </w:r>
      <w:r>
        <w:rPr>
          <w:rFonts w:ascii="仿宋_GB2312" w:hAnsi="仿宋" w:eastAsia="仿宋_GB2312"/>
          <w:sz w:val="32"/>
          <w:szCs w:val="32"/>
        </w:rPr>
      </w:r>
      <w:r>
        <w:rPr>
          <w:rFonts w:ascii="仿宋_GB2312" w:hAnsi="仿宋" w:eastAsia="仿宋_GB2312"/>
          <w:sz w:val="32"/>
          <w:szCs w:val="32"/>
        </w:rPr>
      </w:r>
    </w:p>
    <w:p>
      <w:pPr>
        <w:pStyle w:val="633"/>
        <w:pBdr/>
        <w:spacing w:line="560" w:lineRule="exact"/>
        <w:ind w:firstLine="643"/>
        <w:outlineLvl w:val="1"/>
        <w:rPr>
          <w:rFonts w:hint="eastAsia" w:ascii="楷体" w:hAnsi="楷体" w:eastAsia="楷体"/>
          <w:b/>
          <w:sz w:val="32"/>
          <w:szCs w:val="32"/>
        </w:rPr>
      </w:pPr>
      <w:r>
        <w:rPr>
          <w:rFonts w:hint="eastAsia" w:ascii="楷体" w:hAnsi="楷体" w:eastAsia="楷体"/>
          <w:b/>
          <w:sz w:val="32"/>
          <w:szCs w:val="32"/>
        </w:rPr>
        <w:t xml:space="preserve">（八）强化安全生产依法治理</w:t>
      </w:r>
      <w:r>
        <w:rPr>
          <w:rFonts w:hint="eastAsia" w:ascii="楷体" w:hAnsi="楷体" w:eastAsia="楷体"/>
          <w:b/>
          <w:sz w:val="32"/>
          <w:szCs w:val="32"/>
        </w:rPr>
      </w:r>
      <w:r>
        <w:rPr>
          <w:rFonts w:hint="eastAsia" w:ascii="楷体" w:hAnsi="楷体" w:eastAsia="楷体"/>
          <w:b/>
          <w:sz w:val="32"/>
          <w:szCs w:val="32"/>
        </w:rPr>
      </w:r>
    </w:p>
    <w:p>
      <w:pPr>
        <w:pStyle w:val="633"/>
        <w:pBdr/>
        <w:spacing w:line="560" w:lineRule="exact"/>
        <w:ind w:firstLine="643"/>
        <w:outlineLvl w:val="2"/>
        <w:rPr>
          <w:rFonts w:ascii="仿宋_GB2312" w:hAnsi="仿宋" w:eastAsia="仿宋_GB2312"/>
          <w:b/>
          <w:bCs/>
          <w:sz w:val="32"/>
          <w:szCs w:val="32"/>
        </w:rPr>
      </w:pPr>
      <w:r>
        <w:rPr>
          <w:rFonts w:ascii="仿宋_GB2312" w:hAnsi="仿宋" w:eastAsia="仿宋_GB2312"/>
          <w:b/>
          <w:bCs/>
          <w:sz w:val="32"/>
          <w:szCs w:val="32"/>
        </w:rPr>
        <w:t xml:space="preserve">1.</w:t>
      </w:r>
      <w:r>
        <w:rPr>
          <w:rFonts w:hint="eastAsia" w:ascii="仿宋_GB2312" w:hAnsi="仿宋" w:eastAsia="仿宋_GB2312"/>
          <w:b/>
          <w:bCs/>
          <w:sz w:val="32"/>
          <w:szCs w:val="32"/>
        </w:rPr>
        <w:t xml:space="preserve">完善安全法规标准体系</w:t>
      </w:r>
      <w:r>
        <w:rPr>
          <w:rFonts w:ascii="仿宋_GB2312" w:hAnsi="仿宋" w:eastAsia="仿宋_GB2312"/>
          <w:b/>
          <w:bCs/>
          <w:sz w:val="32"/>
          <w:szCs w:val="32"/>
        </w:rPr>
      </w:r>
      <w:r>
        <w:rPr>
          <w:rFonts w:ascii="仿宋_GB2312" w:hAnsi="仿宋" w:eastAsia="仿宋_GB2312"/>
          <w:b/>
          <w:bCs/>
          <w:sz w:val="32"/>
          <w:szCs w:val="32"/>
        </w:rPr>
      </w:r>
    </w:p>
    <w:p>
      <w:pPr>
        <w:pStyle w:val="633"/>
        <w:pBdr/>
        <w:spacing w:line="560" w:lineRule="exact"/>
        <w:ind w:firstLine="640"/>
        <w:rPr>
          <w:rFonts w:hint="eastAsia" w:ascii="仿宋_GB2312" w:hAnsi="仿宋" w:eastAsia="仿宋_GB2312"/>
          <w:sz w:val="32"/>
          <w:szCs w:val="32"/>
        </w:rPr>
      </w:pPr>
      <w:r>
        <w:rPr>
          <w:rFonts w:hint="eastAsia" w:ascii="仿宋_GB2312" w:hAnsi="仿宋" w:eastAsia="仿宋_GB2312"/>
          <w:sz w:val="32"/>
          <w:szCs w:val="32"/>
        </w:rPr>
        <w:t xml:space="preserve">建立以强制性标准和推荐性标准为一体的电力安全标准体系，制定电力安全法规和标准制定、修订计划，建立健全电力安全法律法规“立改废释”并举的工作协调机制，支持企业制定严于国家、行业、地方标准的安全生产标准。开展《</w:t>
      </w:r>
      <w:r>
        <w:rPr>
          <w:rFonts w:ascii="仿宋_GB2312" w:hAnsi="仿宋" w:eastAsia="仿宋_GB2312"/>
          <w:sz w:val="32"/>
          <w:szCs w:val="32"/>
        </w:rPr>
        <w:t xml:space="preserve">电力安全事故应急处置和调查处理条例</w:t>
      </w:r>
      <w:r>
        <w:rPr>
          <w:rFonts w:hint="eastAsia" w:ascii="仿宋_GB2312" w:hAnsi="仿宋" w:eastAsia="仿宋_GB2312"/>
          <w:sz w:val="32"/>
          <w:szCs w:val="32"/>
        </w:rPr>
        <w:t xml:space="preserve">》释义修订，滚动修编《防止电力生产事故的二十五项重点要求》，修编各项专业技术监督的范围和考核指标。</w:t>
      </w:r>
      <w:r>
        <w:rPr>
          <w:rFonts w:hint="eastAsia" w:ascii="仿宋_GB2312" w:hAnsi="仿宋" w:eastAsia="仿宋_GB2312"/>
          <w:sz w:val="32"/>
          <w:szCs w:val="32"/>
        </w:rPr>
      </w:r>
      <w:r>
        <w:rPr>
          <w:rFonts w:hint="eastAsia" w:ascii="仿宋_GB2312" w:hAnsi="仿宋" w:eastAsia="仿宋_GB2312"/>
          <w:sz w:val="32"/>
          <w:szCs w:val="32"/>
        </w:rPr>
      </w:r>
    </w:p>
    <w:p>
      <w:pPr>
        <w:pStyle w:val="633"/>
        <w:pBdr/>
        <w:spacing w:line="560" w:lineRule="exact"/>
        <w:ind w:firstLine="643"/>
        <w:outlineLvl w:val="2"/>
        <w:rPr>
          <w:rFonts w:ascii="仿宋_GB2312" w:hAnsi="仿宋" w:eastAsia="仿宋_GB2312"/>
          <w:b/>
          <w:bCs/>
          <w:sz w:val="32"/>
          <w:szCs w:val="32"/>
        </w:rPr>
      </w:pPr>
      <w:r>
        <w:rPr>
          <w:rFonts w:ascii="仿宋_GB2312" w:hAnsi="仿宋" w:eastAsia="仿宋_GB2312"/>
          <w:b/>
          <w:bCs/>
          <w:sz w:val="32"/>
          <w:szCs w:val="32"/>
        </w:rPr>
        <w:t xml:space="preserve">2.</w:t>
      </w:r>
      <w:r>
        <w:rPr>
          <w:rFonts w:hint="eastAsia" w:ascii="仿宋_GB2312" w:hAnsi="仿宋" w:eastAsia="仿宋_GB2312"/>
          <w:b/>
          <w:bCs/>
          <w:sz w:val="32"/>
          <w:szCs w:val="32"/>
        </w:rPr>
        <w:t xml:space="preserve">加大安全监管执法力度</w:t>
      </w:r>
      <w:r>
        <w:rPr>
          <w:rFonts w:ascii="仿宋_GB2312" w:hAnsi="仿宋" w:eastAsia="仿宋_GB2312"/>
          <w:b/>
          <w:bCs/>
          <w:sz w:val="32"/>
          <w:szCs w:val="32"/>
        </w:rPr>
      </w:r>
      <w:r>
        <w:rPr>
          <w:rFonts w:ascii="仿宋_GB2312" w:hAnsi="仿宋" w:eastAsia="仿宋_GB2312"/>
          <w:b/>
          <w:bCs/>
          <w:sz w:val="32"/>
          <w:szCs w:val="32"/>
        </w:rPr>
      </w:r>
    </w:p>
    <w:p>
      <w:pPr>
        <w:pStyle w:val="633"/>
        <w:pBdr/>
        <w:spacing w:line="560" w:lineRule="exact"/>
        <w:ind w:firstLine="640"/>
        <w:rPr>
          <w:rFonts w:ascii="仿宋_GB2312" w:hAnsi="仿宋" w:eastAsia="仿宋_GB2312"/>
          <w:sz w:val="32"/>
          <w:szCs w:val="32"/>
        </w:rPr>
      </w:pPr>
      <w:r>
        <w:rPr>
          <w:rFonts w:hint="eastAsia" w:ascii="仿宋_GB2312" w:hAnsi="仿宋" w:eastAsia="仿宋_GB2312"/>
          <w:sz w:val="32"/>
          <w:szCs w:val="32"/>
        </w:rPr>
        <w:t xml:space="preserve">加强电力安全执法检查，建立协调联动机制；完善执法程序，规范行政执法行为，健全执法全过程记录和信息公开制度，定期发布重点监管对象名录；完善通报、约谈制度，对事故多发频发、企业履职不到位及其它涉及安全的重大事项，通报或约谈企业负责人；加大社会参与监督电力安全违法违规问题的力度，建立电力安全事故重大责任人员职业禁入制度；加强《防止电力生产事故的二十五项重点要求》的监督检查工作。</w:t>
      </w:r>
      <w:r>
        <w:rPr>
          <w:rFonts w:ascii="仿宋_GB2312" w:hAnsi="仿宋" w:eastAsia="仿宋_GB2312"/>
          <w:sz w:val="32"/>
          <w:szCs w:val="32"/>
        </w:rPr>
      </w:r>
      <w:r>
        <w:rPr>
          <w:rFonts w:ascii="仿宋_GB2312" w:hAnsi="仿宋" w:eastAsia="仿宋_GB2312"/>
          <w:sz w:val="32"/>
          <w:szCs w:val="32"/>
        </w:rPr>
      </w:r>
    </w:p>
    <w:p>
      <w:pPr>
        <w:pStyle w:val="633"/>
        <w:pBdr/>
        <w:spacing w:line="580" w:lineRule="exact"/>
        <w:ind w:firstLine="643"/>
        <w:outlineLvl w:val="0"/>
        <w:rPr>
          <w:rFonts w:hint="eastAsia" w:ascii="黑体" w:hAnsi="黑体" w:eastAsia="黑体"/>
          <w:b/>
          <w:bCs/>
          <w:sz w:val="32"/>
          <w:szCs w:val="32"/>
        </w:rPr>
      </w:pPr>
      <w:r>
        <w:rPr>
          <w:rFonts w:hint="eastAsia" w:ascii="黑体" w:hAnsi="黑体" w:eastAsia="黑体"/>
          <w:b/>
          <w:bCs/>
          <w:sz w:val="32"/>
          <w:szCs w:val="32"/>
        </w:rPr>
        <w:t xml:space="preserve">四、重点工程</w:t>
      </w:r>
      <w:r>
        <w:rPr>
          <w:rFonts w:hint="eastAsia" w:ascii="黑体" w:hAnsi="黑体" w:eastAsia="黑体"/>
          <w:b/>
          <w:bCs/>
          <w:sz w:val="32"/>
          <w:szCs w:val="32"/>
        </w:rPr>
      </w:r>
      <w:r>
        <w:rPr>
          <w:rFonts w:hint="eastAsia" w:ascii="黑体" w:hAnsi="黑体" w:eastAsia="黑体"/>
          <w:b/>
          <w:bCs/>
          <w:sz w:val="32"/>
          <w:szCs w:val="32"/>
        </w:rPr>
      </w:r>
    </w:p>
    <w:p>
      <w:pPr>
        <w:pStyle w:val="633"/>
        <w:pBdr/>
        <w:spacing w:line="560" w:lineRule="exact"/>
        <w:ind w:firstLine="643"/>
        <w:outlineLvl w:val="2"/>
        <w:rPr>
          <w:rFonts w:hint="eastAsia" w:ascii="仿宋_GB2312" w:hAnsi="仿宋" w:eastAsia="仿宋_GB2312"/>
          <w:b/>
          <w:bCs/>
          <w:sz w:val="32"/>
          <w:szCs w:val="32"/>
        </w:rPr>
      </w:pPr>
      <w:r>
        <w:rPr>
          <w:rFonts w:hint="eastAsia" w:ascii="楷体" w:hAnsi="楷体" w:eastAsia="楷体"/>
          <w:b/>
          <w:sz w:val="32"/>
          <w:szCs w:val="32"/>
        </w:rPr>
        <w:t xml:space="preserve">（一）安全文化引领工程</w:t>
      </w:r>
      <w:r>
        <w:rPr>
          <w:rFonts w:hint="eastAsia" w:ascii="仿宋_GB2312" w:hAnsi="仿宋" w:eastAsia="仿宋_GB2312"/>
          <w:b/>
          <w:bCs/>
          <w:sz w:val="32"/>
          <w:szCs w:val="32"/>
        </w:rPr>
      </w:r>
      <w:r>
        <w:rPr>
          <w:rFonts w:hint="eastAsia" w:ascii="仿宋_GB2312" w:hAnsi="仿宋" w:eastAsia="仿宋_GB2312"/>
          <w:b/>
          <w:bCs/>
          <w:sz w:val="32"/>
          <w:szCs w:val="32"/>
        </w:rPr>
      </w:r>
    </w:p>
    <w:p>
      <w:pPr>
        <w:pStyle w:val="633"/>
        <w:pBdr/>
        <w:spacing w:line="560" w:lineRule="exact"/>
        <w:ind w:firstLine="640"/>
        <w:rPr>
          <w:rFonts w:ascii="仿宋_GB2312" w:hAnsi="仿宋" w:eastAsia="仿宋_GB2312"/>
          <w:sz w:val="32"/>
          <w:szCs w:val="32"/>
        </w:rPr>
      </w:pPr>
      <w:r>
        <w:rPr>
          <w:rFonts w:hint="eastAsia" w:ascii="仿宋_GB2312" w:hAnsi="仿宋" w:eastAsia="仿宋_GB2312"/>
          <w:sz w:val="32"/>
          <w:szCs w:val="32"/>
        </w:rPr>
        <w:t xml:space="preserve">制定安全文化建设规划，推进严、细、实作风持久传承；建立个人安全行为规范，固化“安全第一”意识于内心，秉承“生命至上”理念，养成防范安全风险习惯，达成企业与从业人员在安全理念和行为上的共识。</w:t>
      </w:r>
      <w:r>
        <w:rPr>
          <w:rFonts w:ascii="仿宋_GB2312" w:hAnsi="仿宋" w:eastAsia="仿宋_GB2312"/>
          <w:sz w:val="32"/>
          <w:szCs w:val="32"/>
        </w:rPr>
      </w:r>
      <w:r>
        <w:rPr>
          <w:rFonts w:ascii="仿宋_GB2312" w:hAnsi="仿宋" w:eastAsia="仿宋_GB2312"/>
          <w:sz w:val="32"/>
          <w:szCs w:val="32"/>
        </w:rPr>
      </w:r>
    </w:p>
    <w:p>
      <w:pPr>
        <w:pStyle w:val="633"/>
        <w:pBdr/>
        <w:spacing w:line="560" w:lineRule="exact"/>
        <w:ind w:firstLine="640"/>
        <w:rPr>
          <w:rFonts w:ascii="仿宋_GB2312" w:hAnsi="仿宋" w:eastAsia="仿宋_GB2312"/>
          <w:bCs/>
          <w:sz w:val="24"/>
          <w:szCs w:val="24"/>
        </w:rPr>
      </w:pPr>
      <w:r>
        <w:rPr>
          <w:rFonts w:hint="eastAsia" w:ascii="仿宋_GB2312" w:hAnsi="仿宋" w:eastAsia="仿宋_GB2312"/>
          <w:sz w:val="32"/>
          <w:szCs w:val="32"/>
        </w:rPr>
        <w:t xml:space="preserve">始终坚持“以人为本、安全第一，预防为主，综合治理”方针不动摇，牢固树立安全是文化、安全是技术、安全是管理、安全是责任的理念，加强安全文化导向和约束功能，推动强制安全行为逐步向自觉安全行为转变和提升。</w:t>
      </w:r>
      <w:r>
        <w:rPr>
          <w:rFonts w:ascii="仿宋_GB2312" w:hAnsi="仿宋" w:eastAsia="仿宋_GB2312"/>
          <w:bCs/>
          <w:sz w:val="24"/>
          <w:szCs w:val="24"/>
        </w:rPr>
      </w:r>
      <w:r>
        <w:rPr>
          <w:rFonts w:ascii="仿宋_GB2312" w:hAnsi="仿宋" w:eastAsia="仿宋_GB2312"/>
          <w:bCs/>
          <w:sz w:val="24"/>
          <w:szCs w:val="24"/>
        </w:rPr>
      </w:r>
    </w:p>
    <w:p>
      <w:pPr>
        <w:pStyle w:val="633"/>
        <w:pBdr/>
        <w:spacing w:after="156" w:line="560" w:lineRule="exact"/>
        <w:ind w:firstLine="640"/>
        <w:rPr>
          <w:rFonts w:hint="eastAsia" w:ascii="仿宋_GB2312" w:hAnsi="仿宋" w:eastAsia="仿宋_GB2312"/>
          <w:sz w:val="32"/>
          <w:szCs w:val="32"/>
        </w:rPr>
      </w:pPr>
      <w:r>
        <w:rPr>
          <w:rFonts w:hint="eastAsia" w:ascii="仿宋_GB2312" w:hAnsi="仿宋" w:eastAsia="仿宋_GB2312"/>
          <w:sz w:val="32"/>
          <w:szCs w:val="32"/>
        </w:rPr>
        <w:t xml:space="preserve">不断探索安全文化建设的新途径。围绕职工关心的热点、重点和难点问题，举办热点追踪、安全大家谈等活动，不断丰富安全教育内容；利用科技信息手段，让安全知识寓娱乐性、知识性、教育性、趣味性于一体，构建多具特色、多种形式的安全文化建设发展格局。</w:t>
      </w:r>
      <w:r>
        <w:rPr>
          <w:rFonts w:hint="eastAsia" w:ascii="仿宋_GB2312" w:hAnsi="仿宋" w:eastAsia="仿宋_GB2312"/>
          <w:sz w:val="32"/>
          <w:szCs w:val="32"/>
        </w:rPr>
      </w:r>
      <w:r>
        <w:rPr>
          <w:rFonts w:hint="eastAsia" w:ascii="仿宋_GB2312" w:hAnsi="仿宋" w:eastAsia="仿宋_GB2312"/>
          <w:sz w:val="32"/>
          <w:szCs w:val="32"/>
        </w:rPr>
      </w:r>
    </w:p>
    <w:tbl>
      <w:tblPr>
        <w:tblW w:w="0" w:type="auto"/>
        <w:tblInd w:w="-108"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left w:w="108" w:type="dxa"/>
          <w:top w:w="0" w:type="dxa"/>
          <w:right w:w="108" w:type="dxa"/>
          <w:bottom w:w="0" w:type="dxa"/>
        </w:tblCellMar>
        <w:tblLook w:val="04A0" w:firstRow="1" w:lastRow="0" w:firstColumn="1" w:lastColumn="0" w:noHBand="0" w:noVBand="1"/>
      </w:tblPr>
      <w:tblGrid>
        <w:gridCol w:w="9060"/>
      </w:tblGrid>
      <w:tr>
        <w:trPr>
          <w:trHeight w:val="510" w:hRule="exact"/>
        </w:trPr>
        <w:tc>
          <w:tcPr>
            <w:tcBorders/>
            <w:tcW w:w="9060" w:type="dxa"/>
            <w:vAlign w:val="center"/>
            <w:textDirection w:val="lrTb"/>
            <w:noWrap w:val="false"/>
          </w:tcPr>
          <w:p>
            <w:pPr>
              <w:pStyle w:val="633"/>
              <w:pBdr/>
              <w:spacing/>
              <w:ind w:firstLine="480"/>
              <w:jc w:val="center"/>
              <w:rPr>
                <w:rFonts w:hint="eastAsia" w:ascii="仿宋_GB2312" w:hAnsi="仿宋" w:eastAsia="仿宋_GB2312"/>
                <w:sz w:val="32"/>
                <w:szCs w:val="32"/>
              </w:rPr>
            </w:pPr>
            <w:r>
              <w:rPr>
                <w:rFonts w:hint="eastAsia" w:ascii="仿宋_GB2312" w:hAnsi="仿宋" w:eastAsia="仿宋_GB2312"/>
                <w:bCs/>
                <w:sz w:val="24"/>
                <w:szCs w:val="24"/>
              </w:rPr>
              <w:t xml:space="preserve">专栏1 安全文化引领工程</w:t>
            </w:r>
            <w:r>
              <w:rPr>
                <w:rFonts w:hint="eastAsia" w:ascii="仿宋_GB2312" w:hAnsi="仿宋" w:eastAsia="仿宋_GB2312"/>
                <w:sz w:val="32"/>
                <w:szCs w:val="32"/>
              </w:rPr>
            </w:r>
            <w:r>
              <w:rPr>
                <w:rFonts w:hint="eastAsia" w:ascii="仿宋_GB2312" w:hAnsi="仿宋" w:eastAsia="仿宋_GB2312"/>
                <w:sz w:val="32"/>
                <w:szCs w:val="32"/>
              </w:rPr>
            </w:r>
          </w:p>
        </w:tc>
      </w:tr>
      <w:tr>
        <w:trPr/>
        <w:tc>
          <w:tcPr>
            <w:tcBorders/>
            <w:tcW w:w="9060" w:type="dxa"/>
            <w:vAlign w:val="top"/>
            <w:textDirection w:val="lrTb"/>
            <w:noWrap w:val="false"/>
          </w:tcPr>
          <w:p>
            <w:pPr>
              <w:pStyle w:val="633"/>
              <w:pBdr/>
              <w:spacing w:before="156"/>
              <w:ind w:left="403"/>
              <w:rPr>
                <w:rFonts w:ascii="仿宋_GB2312" w:hAnsi="仿宋" w:eastAsia="仿宋_GB2312"/>
                <w:sz w:val="24"/>
                <w:szCs w:val="24"/>
              </w:rPr>
            </w:pPr>
            <w:r>
              <w:rPr>
                <w:rFonts w:hint="eastAsia" w:ascii="仿宋_GB2312" w:hAnsi="仿宋" w:eastAsia="仿宋_GB2312"/>
                <w:sz w:val="24"/>
                <w:szCs w:val="24"/>
              </w:rPr>
              <w:t xml:space="preserve">1.建立个人安全行为规范。</w:t>
            </w:r>
            <w:r>
              <w:rPr>
                <w:rFonts w:ascii="仿宋_GB2312" w:hAnsi="仿宋" w:eastAsia="仿宋_GB2312"/>
                <w:sz w:val="24"/>
                <w:szCs w:val="24"/>
              </w:rPr>
            </w:r>
            <w:r>
              <w:rPr>
                <w:rFonts w:ascii="仿宋_GB2312" w:hAnsi="仿宋" w:eastAsia="仿宋_GB2312"/>
                <w:sz w:val="24"/>
                <w:szCs w:val="24"/>
              </w:rPr>
            </w:r>
          </w:p>
          <w:p>
            <w:pPr>
              <w:pStyle w:val="633"/>
              <w:pBdr/>
              <w:spacing w:line="276" w:lineRule="auto"/>
              <w:ind w:left="400"/>
              <w:rPr>
                <w:rFonts w:ascii="仿宋_GB2312" w:hAnsi="仿宋" w:eastAsia="仿宋_GB2312"/>
                <w:sz w:val="24"/>
                <w:szCs w:val="24"/>
              </w:rPr>
            </w:pPr>
            <w:r>
              <w:rPr>
                <w:rFonts w:hint="eastAsia" w:ascii="仿宋_GB2312" w:hAnsi="仿宋" w:eastAsia="仿宋_GB2312"/>
                <w:sz w:val="24"/>
                <w:szCs w:val="24"/>
              </w:rPr>
              <w:t xml:space="preserve">2.建立电力安全宣传日。</w:t>
            </w:r>
            <w:r>
              <w:rPr>
                <w:rFonts w:ascii="仿宋_GB2312" w:hAnsi="仿宋" w:eastAsia="仿宋_GB2312"/>
                <w:sz w:val="24"/>
                <w:szCs w:val="24"/>
              </w:rPr>
            </w:r>
            <w:r>
              <w:rPr>
                <w:rFonts w:ascii="仿宋_GB2312" w:hAnsi="仿宋" w:eastAsia="仿宋_GB2312"/>
                <w:sz w:val="24"/>
                <w:szCs w:val="24"/>
              </w:rPr>
            </w:r>
          </w:p>
          <w:p>
            <w:pPr>
              <w:pStyle w:val="633"/>
              <w:pBdr/>
              <w:spacing w:line="276" w:lineRule="auto"/>
              <w:ind w:left="400"/>
              <w:rPr>
                <w:rFonts w:hint="eastAsia" w:ascii="仿宋_GB2312" w:hAnsi="仿宋" w:eastAsia="仿宋_GB2312"/>
                <w:sz w:val="24"/>
                <w:szCs w:val="24"/>
              </w:rPr>
            </w:pPr>
            <w:r>
              <w:rPr>
                <w:rFonts w:hint="eastAsia" w:ascii="仿宋_GB2312" w:hAnsi="仿宋" w:eastAsia="仿宋_GB2312"/>
                <w:sz w:val="24"/>
                <w:szCs w:val="24"/>
              </w:rPr>
              <w:t xml:space="preserve">3.制定电力安全文化建设规划。</w:t>
            </w:r>
            <w:r>
              <w:rPr>
                <w:rFonts w:hint="eastAsia" w:ascii="仿宋_GB2312" w:hAnsi="仿宋" w:eastAsia="仿宋_GB2312"/>
                <w:sz w:val="24"/>
                <w:szCs w:val="24"/>
              </w:rPr>
            </w:r>
            <w:r>
              <w:rPr>
                <w:rFonts w:hint="eastAsia" w:ascii="仿宋_GB2312" w:hAnsi="仿宋" w:eastAsia="仿宋_GB2312"/>
                <w:sz w:val="24"/>
                <w:szCs w:val="24"/>
              </w:rPr>
            </w:r>
          </w:p>
        </w:tc>
      </w:tr>
    </w:tbl>
    <w:p>
      <w:pPr>
        <w:pStyle w:val="633"/>
        <w:pBdr/>
        <w:spacing w:before="156" w:line="580" w:lineRule="exact"/>
        <w:ind w:firstLine="643"/>
        <w:outlineLvl w:val="1"/>
        <w:rPr>
          <w:rFonts w:hint="eastAsia" w:ascii="楷体" w:hAnsi="楷体" w:eastAsia="楷体"/>
          <w:b/>
          <w:sz w:val="32"/>
          <w:szCs w:val="32"/>
        </w:rPr>
      </w:pPr>
      <w:r>
        <w:rPr>
          <w:rFonts w:hint="eastAsia" w:ascii="楷体" w:hAnsi="楷体" w:eastAsia="楷体"/>
          <w:b/>
          <w:sz w:val="32"/>
          <w:szCs w:val="32"/>
        </w:rPr>
        <w:t xml:space="preserve">（二）安全诚信建设工程</w:t>
      </w:r>
      <w:r>
        <w:rPr>
          <w:rFonts w:hint="eastAsia" w:ascii="楷体" w:hAnsi="楷体" w:eastAsia="楷体"/>
          <w:b/>
          <w:sz w:val="32"/>
          <w:szCs w:val="32"/>
        </w:rPr>
      </w:r>
      <w:r>
        <w:rPr>
          <w:rFonts w:hint="eastAsia" w:ascii="楷体" w:hAnsi="楷体" w:eastAsia="楷体"/>
          <w:b/>
          <w:sz w:val="32"/>
          <w:szCs w:val="32"/>
        </w:rPr>
      </w:r>
    </w:p>
    <w:p>
      <w:pPr>
        <w:pStyle w:val="633"/>
        <w:pBdr/>
        <w:spacing w:line="560" w:lineRule="exact"/>
        <w:ind w:firstLine="640"/>
        <w:rPr>
          <w:rFonts w:ascii="仿宋_GB2312" w:hAnsi="仿宋" w:eastAsia="仿宋_GB2312"/>
          <w:sz w:val="32"/>
          <w:szCs w:val="32"/>
        </w:rPr>
      </w:pPr>
      <w:r>
        <w:rPr>
          <w:rFonts w:hint="eastAsia" w:ascii="仿宋_GB2312" w:hAnsi="仿宋" w:eastAsia="仿宋_GB2312"/>
          <w:sz w:val="32"/>
          <w:szCs w:val="32"/>
        </w:rPr>
        <w:t xml:space="preserve">构建设备设施可靠性信息共享机制，建立产品安全质量不良记录制度和安全责任追溯制度。</w:t>
      </w:r>
      <w:r>
        <w:rPr>
          <w:rFonts w:ascii="仿宋_GB2312" w:hAnsi="仿宋" w:eastAsia="仿宋_GB2312"/>
          <w:sz w:val="32"/>
          <w:szCs w:val="32"/>
        </w:rPr>
      </w:r>
      <w:r>
        <w:rPr>
          <w:rFonts w:ascii="仿宋_GB2312" w:hAnsi="仿宋" w:eastAsia="仿宋_GB2312"/>
          <w:sz w:val="32"/>
          <w:szCs w:val="32"/>
        </w:rPr>
      </w:r>
    </w:p>
    <w:p>
      <w:pPr>
        <w:pStyle w:val="633"/>
        <w:pBdr/>
        <w:spacing w:after="156" w:line="560" w:lineRule="exact"/>
        <w:ind w:firstLine="640"/>
        <w:rPr>
          <w:rFonts w:hint="eastAsia" w:ascii="仿宋_GB2312" w:hAnsi="仿宋" w:eastAsia="仿宋_GB2312"/>
          <w:sz w:val="32"/>
          <w:szCs w:val="32"/>
        </w:rPr>
      </w:pPr>
      <w:r>
        <w:rPr>
          <w:rFonts w:hint="eastAsia" w:ascii="仿宋_GB2312" w:hAnsi="仿宋" w:eastAsia="仿宋_GB2312"/>
          <w:sz w:val="32"/>
          <w:szCs w:val="32"/>
        </w:rPr>
        <w:t xml:space="preserve">建立企业和个人安全信用档案，制定企业和个人禁入电力行业负面清单；研究建立电力安全诚信评价机制和标准，把安全诚信等级列为市场准入条件。</w:t>
      </w:r>
      <w:r>
        <w:rPr>
          <w:rFonts w:hint="eastAsia" w:ascii="仿宋_GB2312" w:hAnsi="仿宋" w:eastAsia="仿宋_GB2312"/>
          <w:sz w:val="32"/>
          <w:szCs w:val="32"/>
        </w:rPr>
      </w:r>
      <w:r>
        <w:rPr>
          <w:rFonts w:hint="eastAsia" w:ascii="仿宋_GB2312" w:hAnsi="仿宋" w:eastAsia="仿宋_GB2312"/>
          <w:sz w:val="32"/>
          <w:szCs w:val="32"/>
        </w:rPr>
      </w:r>
    </w:p>
    <w:tbl>
      <w:tblPr>
        <w:tblW w:w="0" w:type="auto"/>
        <w:tblInd w:w="-108"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left w:w="108" w:type="dxa"/>
          <w:top w:w="0" w:type="dxa"/>
          <w:right w:w="108" w:type="dxa"/>
          <w:bottom w:w="0" w:type="dxa"/>
        </w:tblCellMar>
        <w:tblLook w:val="04A0" w:firstRow="1" w:lastRow="0" w:firstColumn="1" w:lastColumn="0" w:noHBand="0" w:noVBand="1"/>
      </w:tblPr>
      <w:tblGrid>
        <w:gridCol w:w="9060"/>
      </w:tblGrid>
      <w:tr>
        <w:trPr>
          <w:trHeight w:val="510" w:hRule="exact"/>
        </w:trPr>
        <w:tc>
          <w:tcPr>
            <w:tcBorders/>
            <w:tcW w:w="9060" w:type="dxa"/>
            <w:vAlign w:val="center"/>
            <w:textDirection w:val="lrTb"/>
            <w:noWrap w:val="false"/>
          </w:tcPr>
          <w:p>
            <w:pPr>
              <w:pStyle w:val="633"/>
              <w:pBdr/>
              <w:spacing/>
              <w:ind w:firstLine="480"/>
              <w:jc w:val="center"/>
              <w:rPr>
                <w:rFonts w:hint="eastAsia" w:ascii="仿宋_GB2312" w:hAnsi="仿宋" w:eastAsia="仿宋_GB2312"/>
                <w:sz w:val="32"/>
                <w:szCs w:val="32"/>
              </w:rPr>
            </w:pPr>
            <w:r>
              <w:rPr>
                <w:rFonts w:hint="eastAsia" w:ascii="仿宋_GB2312" w:hAnsi="仿宋" w:eastAsia="仿宋_GB2312"/>
                <w:bCs/>
                <w:sz w:val="24"/>
                <w:szCs w:val="24"/>
              </w:rPr>
              <w:t xml:space="preserve">专栏2 </w:t>
            </w:r>
            <w:r>
              <w:rPr>
                <w:rFonts w:hint="eastAsia" w:ascii="仿宋_GB2312" w:hAnsi="华文楷体" w:eastAsia="仿宋_GB2312"/>
                <w:bCs/>
                <w:sz w:val="24"/>
                <w:szCs w:val="24"/>
              </w:rPr>
              <w:t xml:space="preserve">安全诚信建设工程</w:t>
            </w:r>
            <w:r>
              <w:rPr>
                <w:rFonts w:hint="eastAsia" w:ascii="仿宋_GB2312" w:hAnsi="仿宋" w:eastAsia="仿宋_GB2312"/>
                <w:sz w:val="32"/>
                <w:szCs w:val="32"/>
              </w:rPr>
            </w:r>
            <w:r>
              <w:rPr>
                <w:rFonts w:hint="eastAsia" w:ascii="仿宋_GB2312" w:hAnsi="仿宋" w:eastAsia="仿宋_GB2312"/>
                <w:sz w:val="32"/>
                <w:szCs w:val="32"/>
              </w:rPr>
            </w:r>
          </w:p>
        </w:tc>
      </w:tr>
      <w:tr>
        <w:trPr/>
        <w:tc>
          <w:tcPr>
            <w:tcBorders/>
            <w:tcW w:w="9060" w:type="dxa"/>
            <w:vAlign w:val="top"/>
            <w:textDirection w:val="lrTb"/>
            <w:noWrap w:val="false"/>
          </w:tcPr>
          <w:p>
            <w:pPr>
              <w:pStyle w:val="633"/>
              <w:pBdr/>
              <w:spacing w:before="156"/>
              <w:ind w:left="403"/>
              <w:rPr>
                <w:rFonts w:ascii="仿宋_GB2312" w:hAnsi="仿宋" w:eastAsia="仿宋_GB2312"/>
                <w:sz w:val="24"/>
                <w:szCs w:val="24"/>
              </w:rPr>
            </w:pPr>
            <w:r>
              <w:rPr>
                <w:rFonts w:hint="eastAsia" w:ascii="仿宋_GB2312" w:hAnsi="仿宋" w:eastAsia="仿宋_GB2312"/>
                <w:sz w:val="24"/>
                <w:szCs w:val="24"/>
              </w:rPr>
              <w:t xml:space="preserve">1.</w:t>
            </w:r>
            <w:r>
              <w:rPr>
                <w:rFonts w:hint="eastAsia"/>
              </w:rPr>
              <w:t xml:space="preserve"> </w:t>
            </w:r>
            <w:r>
              <w:rPr>
                <w:rFonts w:hint="eastAsia" w:ascii="仿宋_GB2312" w:hAnsi="仿宋" w:eastAsia="仿宋_GB2312"/>
                <w:sz w:val="24"/>
                <w:szCs w:val="24"/>
              </w:rPr>
              <w:t xml:space="preserve">建立电力安全诚信评价机制和标准。</w:t>
            </w:r>
            <w:r>
              <w:rPr>
                <w:rFonts w:ascii="仿宋_GB2312" w:hAnsi="仿宋" w:eastAsia="仿宋_GB2312"/>
                <w:sz w:val="24"/>
                <w:szCs w:val="24"/>
              </w:rPr>
            </w:r>
            <w:r>
              <w:rPr>
                <w:rFonts w:ascii="仿宋_GB2312" w:hAnsi="仿宋" w:eastAsia="仿宋_GB2312"/>
                <w:sz w:val="24"/>
                <w:szCs w:val="24"/>
              </w:rPr>
            </w:r>
          </w:p>
          <w:p>
            <w:pPr>
              <w:pStyle w:val="633"/>
              <w:pBdr/>
              <w:spacing w:line="276" w:lineRule="auto"/>
              <w:ind w:left="400"/>
              <w:rPr>
                <w:rFonts w:hint="eastAsia" w:ascii="仿宋_GB2312" w:hAnsi="仿宋" w:eastAsia="仿宋_GB2312"/>
                <w:sz w:val="24"/>
                <w:szCs w:val="24"/>
              </w:rPr>
            </w:pPr>
            <w:r>
              <w:rPr>
                <w:rFonts w:hint="eastAsia" w:ascii="仿宋_GB2312" w:hAnsi="仿宋" w:eastAsia="仿宋_GB2312"/>
                <w:sz w:val="24"/>
                <w:szCs w:val="24"/>
              </w:rPr>
              <w:t xml:space="preserve">2.</w:t>
            </w:r>
            <w:r>
              <w:rPr>
                <w:rFonts w:hint="eastAsia"/>
              </w:rPr>
              <w:t xml:space="preserve"> </w:t>
            </w:r>
            <w:r>
              <w:rPr>
                <w:rFonts w:hint="eastAsia" w:ascii="仿宋_GB2312" w:hAnsi="仿宋" w:eastAsia="仿宋_GB2312"/>
                <w:sz w:val="24"/>
                <w:szCs w:val="24"/>
              </w:rPr>
              <w:t xml:space="preserve">建立企业和个人安全信用档案。</w:t>
            </w:r>
            <w:r>
              <w:rPr>
                <w:rFonts w:hint="eastAsia" w:ascii="仿宋_GB2312" w:hAnsi="仿宋" w:eastAsia="仿宋_GB2312"/>
                <w:sz w:val="24"/>
                <w:szCs w:val="24"/>
              </w:rPr>
            </w:r>
            <w:r>
              <w:rPr>
                <w:rFonts w:hint="eastAsia" w:ascii="仿宋_GB2312" w:hAnsi="仿宋" w:eastAsia="仿宋_GB2312"/>
                <w:sz w:val="24"/>
                <w:szCs w:val="24"/>
              </w:rPr>
            </w:r>
          </w:p>
        </w:tc>
      </w:tr>
    </w:tbl>
    <w:p>
      <w:pPr>
        <w:pStyle w:val="633"/>
        <w:pBdr/>
        <w:spacing w:before="156" w:line="560" w:lineRule="exact"/>
        <w:ind w:firstLine="643"/>
        <w:outlineLvl w:val="1"/>
        <w:rPr>
          <w:rFonts w:hint="eastAsia" w:ascii="楷体" w:hAnsi="楷体" w:eastAsia="楷体"/>
          <w:b/>
          <w:sz w:val="32"/>
          <w:szCs w:val="32"/>
        </w:rPr>
      </w:pPr>
      <w:r>
        <w:rPr>
          <w:rFonts w:hint="eastAsia" w:ascii="楷体" w:hAnsi="楷体" w:eastAsia="楷体"/>
          <w:b/>
          <w:sz w:val="32"/>
          <w:szCs w:val="32"/>
        </w:rPr>
        <w:t xml:space="preserve">（三）安全风险管控体系构建工程</w:t>
      </w:r>
      <w:r>
        <w:rPr>
          <w:rFonts w:hint="eastAsia" w:ascii="楷体" w:hAnsi="楷体" w:eastAsia="楷体"/>
          <w:b/>
          <w:sz w:val="32"/>
          <w:szCs w:val="32"/>
        </w:rPr>
      </w:r>
      <w:r>
        <w:rPr>
          <w:rFonts w:hint="eastAsia" w:ascii="楷体" w:hAnsi="楷体" w:eastAsia="楷体"/>
          <w:b/>
          <w:sz w:val="32"/>
          <w:szCs w:val="32"/>
        </w:rPr>
      </w:r>
    </w:p>
    <w:p>
      <w:pPr>
        <w:pStyle w:val="633"/>
        <w:pBdr/>
        <w:spacing w:line="560" w:lineRule="exact"/>
        <w:ind w:firstLine="640"/>
        <w:rPr>
          <w:rFonts w:hint="eastAsia" w:ascii="仿宋_GB2312" w:hAnsi="仿宋" w:eastAsia="仿宋_GB2312"/>
          <w:sz w:val="32"/>
          <w:szCs w:val="32"/>
        </w:rPr>
      </w:pPr>
      <w:r>
        <w:rPr>
          <w:rFonts w:hint="eastAsia" w:ascii="仿宋_GB2312" w:hAnsi="仿宋" w:eastAsia="仿宋_GB2312"/>
          <w:sz w:val="32"/>
          <w:szCs w:val="32"/>
        </w:rPr>
        <w:t xml:space="preserve">建立电力行业危险源辨识、风险分析、风险评估、风险控制为一体的闭环和分层次管理的安全风险管控体系。</w:t>
      </w:r>
      <w:r>
        <w:rPr>
          <w:rFonts w:hint="eastAsia" w:ascii="仿宋_GB2312" w:hAnsi="仿宋" w:eastAsia="仿宋_GB2312"/>
          <w:sz w:val="32"/>
          <w:szCs w:val="32"/>
        </w:rPr>
      </w:r>
      <w:r>
        <w:rPr>
          <w:rFonts w:hint="eastAsia" w:ascii="仿宋_GB2312" w:hAnsi="仿宋" w:eastAsia="仿宋_GB2312"/>
          <w:sz w:val="32"/>
          <w:szCs w:val="32"/>
        </w:rPr>
      </w:r>
    </w:p>
    <w:p>
      <w:pPr>
        <w:pStyle w:val="633"/>
        <w:pBdr/>
        <w:spacing w:line="560" w:lineRule="exact"/>
        <w:ind w:firstLine="640"/>
        <w:rPr>
          <w:rFonts w:ascii="仿宋_GB2312" w:hAnsi="仿宋" w:eastAsia="仿宋_GB2312"/>
          <w:sz w:val="32"/>
          <w:szCs w:val="32"/>
        </w:rPr>
      </w:pPr>
      <w:r>
        <w:rPr>
          <w:rFonts w:hint="eastAsia" w:ascii="仿宋_GB2312" w:hAnsi="仿宋" w:eastAsia="仿宋_GB2312"/>
          <w:sz w:val="32"/>
          <w:szCs w:val="32"/>
        </w:rPr>
        <w:t xml:space="preserve">建立年、季、月度安全风险分析制度，建立定期发布安全风险预警机制，建立安全风险辨识培训制度，使从业人员立足岗位，清楚风险源分布，掌握风险防控措施，做到不同管理层次控制不同程度和类型安全风险，确保安全风险可控。</w:t>
      </w:r>
      <w:r>
        <w:rPr>
          <w:rFonts w:ascii="仿宋_GB2312" w:hAnsi="仿宋" w:eastAsia="仿宋_GB2312"/>
          <w:sz w:val="32"/>
          <w:szCs w:val="32"/>
        </w:rPr>
      </w:r>
      <w:r>
        <w:rPr>
          <w:rFonts w:ascii="仿宋_GB2312" w:hAnsi="仿宋" w:eastAsia="仿宋_GB2312"/>
          <w:sz w:val="32"/>
          <w:szCs w:val="32"/>
        </w:rPr>
      </w:r>
    </w:p>
    <w:p>
      <w:pPr>
        <w:pStyle w:val="633"/>
        <w:pBdr/>
        <w:spacing w:after="156" w:line="560" w:lineRule="exact"/>
        <w:ind w:firstLine="640"/>
        <w:rPr>
          <w:rFonts w:hint="eastAsia" w:ascii="仿宋_GB2312" w:hAnsi="仿宋" w:eastAsia="仿宋_GB2312"/>
          <w:sz w:val="32"/>
          <w:szCs w:val="32"/>
        </w:rPr>
      </w:pPr>
      <w:r>
        <w:rPr>
          <w:rFonts w:hint="eastAsia" w:ascii="仿宋_GB2312" w:hAnsi="仿宋" w:eastAsia="仿宋_GB2312"/>
          <w:sz w:val="32"/>
          <w:szCs w:val="32"/>
        </w:rPr>
        <w:t xml:space="preserve">建立健全安全风险分层管控机制，发挥电力企业安全保障、安全监督体系的协同作用。</w:t>
      </w:r>
      <w:r>
        <w:rPr>
          <w:rFonts w:hint="eastAsia" w:ascii="仿宋_GB2312" w:hAnsi="仿宋" w:eastAsia="仿宋_GB2312"/>
          <w:sz w:val="32"/>
          <w:szCs w:val="32"/>
        </w:rPr>
      </w:r>
      <w:r>
        <w:rPr>
          <w:rFonts w:hint="eastAsia" w:ascii="仿宋_GB2312" w:hAnsi="仿宋" w:eastAsia="仿宋_GB2312"/>
          <w:sz w:val="32"/>
          <w:szCs w:val="32"/>
        </w:rPr>
      </w:r>
    </w:p>
    <w:tbl>
      <w:tblPr>
        <w:tblW w:w="0" w:type="auto"/>
        <w:tblInd w:w="-108"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left w:w="108" w:type="dxa"/>
          <w:top w:w="0" w:type="dxa"/>
          <w:right w:w="108" w:type="dxa"/>
          <w:bottom w:w="0" w:type="dxa"/>
        </w:tblCellMar>
        <w:tblLook w:val="04A0" w:firstRow="1" w:lastRow="0" w:firstColumn="1" w:lastColumn="0" w:noHBand="0" w:noVBand="1"/>
      </w:tblPr>
      <w:tblGrid>
        <w:gridCol w:w="9060"/>
      </w:tblGrid>
      <w:tr>
        <w:trPr>
          <w:trHeight w:val="510" w:hRule="exact"/>
        </w:trPr>
        <w:tc>
          <w:tcPr>
            <w:tcBorders/>
            <w:tcW w:w="9060" w:type="dxa"/>
            <w:vAlign w:val="center"/>
            <w:textDirection w:val="lrTb"/>
            <w:noWrap w:val="false"/>
          </w:tcPr>
          <w:p>
            <w:pPr>
              <w:pStyle w:val="633"/>
              <w:pBdr/>
              <w:spacing/>
              <w:ind w:firstLine="480"/>
              <w:jc w:val="center"/>
              <w:rPr>
                <w:rFonts w:hint="eastAsia" w:ascii="仿宋_GB2312" w:hAnsi="仿宋" w:eastAsia="仿宋_GB2312"/>
                <w:sz w:val="32"/>
                <w:szCs w:val="32"/>
              </w:rPr>
            </w:pPr>
            <w:r>
              <w:rPr>
                <w:rFonts w:hint="eastAsia" w:ascii="仿宋_GB2312" w:hAnsi="仿宋" w:eastAsia="仿宋_GB2312"/>
                <w:bCs/>
                <w:sz w:val="24"/>
                <w:szCs w:val="24"/>
              </w:rPr>
              <w:t xml:space="preserve">专栏3 </w:t>
            </w:r>
            <w:r>
              <w:rPr>
                <w:rFonts w:hint="eastAsia" w:ascii="仿宋_GB2312" w:hAnsi="华文楷体" w:eastAsia="仿宋_GB2312"/>
                <w:bCs/>
                <w:sz w:val="24"/>
                <w:szCs w:val="24"/>
              </w:rPr>
              <w:t xml:space="preserve">安全风险管控体系构建工程</w:t>
            </w:r>
            <w:r>
              <w:rPr>
                <w:rFonts w:hint="eastAsia" w:ascii="仿宋_GB2312" w:hAnsi="仿宋" w:eastAsia="仿宋_GB2312"/>
                <w:sz w:val="32"/>
                <w:szCs w:val="32"/>
              </w:rPr>
            </w:r>
            <w:r>
              <w:rPr>
                <w:rFonts w:hint="eastAsia" w:ascii="仿宋_GB2312" w:hAnsi="仿宋" w:eastAsia="仿宋_GB2312"/>
                <w:sz w:val="32"/>
                <w:szCs w:val="32"/>
              </w:rPr>
            </w:r>
          </w:p>
        </w:tc>
      </w:tr>
      <w:tr>
        <w:trPr/>
        <w:tc>
          <w:tcPr>
            <w:tcBorders/>
            <w:tcW w:w="9060" w:type="dxa"/>
            <w:vAlign w:val="top"/>
            <w:textDirection w:val="lrTb"/>
            <w:noWrap w:val="false"/>
          </w:tcPr>
          <w:p>
            <w:pPr>
              <w:pStyle w:val="633"/>
              <w:pBdr/>
              <w:spacing w:before="156"/>
              <w:ind w:left="403"/>
              <w:rPr>
                <w:rFonts w:ascii="仿宋_GB2312" w:hAnsi="仿宋" w:eastAsia="仿宋_GB2312"/>
                <w:sz w:val="24"/>
                <w:szCs w:val="24"/>
              </w:rPr>
            </w:pPr>
            <w:r>
              <w:rPr>
                <w:rFonts w:hint="eastAsia" w:ascii="仿宋_GB2312" w:hAnsi="仿宋" w:eastAsia="仿宋_GB2312"/>
                <w:sz w:val="24"/>
                <w:szCs w:val="24"/>
              </w:rPr>
              <w:t xml:space="preserve">1.建立基于闭环和分层次管理的安全风险管控体系。</w:t>
            </w:r>
            <w:r>
              <w:rPr>
                <w:rFonts w:ascii="仿宋_GB2312" w:hAnsi="仿宋" w:eastAsia="仿宋_GB2312"/>
                <w:sz w:val="24"/>
                <w:szCs w:val="24"/>
              </w:rPr>
            </w:r>
            <w:r>
              <w:rPr>
                <w:rFonts w:ascii="仿宋_GB2312" w:hAnsi="仿宋" w:eastAsia="仿宋_GB2312"/>
                <w:sz w:val="24"/>
                <w:szCs w:val="24"/>
              </w:rPr>
            </w:r>
          </w:p>
          <w:p>
            <w:pPr>
              <w:pStyle w:val="633"/>
              <w:pBdr/>
              <w:spacing w:line="276" w:lineRule="auto"/>
              <w:ind w:left="400"/>
              <w:rPr>
                <w:rFonts w:ascii="仿宋_GB2312" w:hAnsi="仿宋" w:eastAsia="仿宋_GB2312"/>
                <w:sz w:val="24"/>
                <w:szCs w:val="24"/>
              </w:rPr>
            </w:pPr>
            <w:r>
              <w:rPr>
                <w:rFonts w:hint="eastAsia" w:ascii="仿宋_GB2312" w:hAnsi="仿宋" w:eastAsia="仿宋_GB2312"/>
                <w:sz w:val="24"/>
                <w:szCs w:val="24"/>
              </w:rPr>
              <w:t xml:space="preserve">2.建立涵盖电力行业各级单位安全风险管控信息平台。</w:t>
            </w:r>
            <w:r>
              <w:rPr>
                <w:rFonts w:ascii="仿宋_GB2312" w:hAnsi="仿宋" w:eastAsia="仿宋_GB2312"/>
                <w:sz w:val="24"/>
                <w:szCs w:val="24"/>
              </w:rPr>
            </w:r>
            <w:r>
              <w:rPr>
                <w:rFonts w:ascii="仿宋_GB2312" w:hAnsi="仿宋" w:eastAsia="仿宋_GB2312"/>
                <w:sz w:val="24"/>
                <w:szCs w:val="24"/>
              </w:rPr>
            </w:r>
          </w:p>
          <w:p>
            <w:pPr>
              <w:pStyle w:val="633"/>
              <w:pBdr/>
              <w:spacing w:line="276" w:lineRule="auto"/>
              <w:ind w:left="400"/>
              <w:rPr>
                <w:rFonts w:ascii="仿宋_GB2312" w:hAnsi="仿宋" w:eastAsia="仿宋_GB2312"/>
                <w:sz w:val="24"/>
                <w:szCs w:val="24"/>
              </w:rPr>
            </w:pPr>
            <w:r>
              <w:rPr>
                <w:rFonts w:hint="eastAsia" w:ascii="仿宋_GB2312" w:hAnsi="仿宋" w:eastAsia="仿宋_GB2312"/>
                <w:sz w:val="24"/>
                <w:szCs w:val="24"/>
              </w:rPr>
              <w:t xml:space="preserve">3.建立各级电力企业安全风险辨识培训制度。</w:t>
            </w:r>
            <w:r>
              <w:rPr>
                <w:rFonts w:ascii="仿宋_GB2312" w:hAnsi="仿宋" w:eastAsia="仿宋_GB2312"/>
                <w:sz w:val="24"/>
                <w:szCs w:val="24"/>
              </w:rPr>
            </w:r>
            <w:r>
              <w:rPr>
                <w:rFonts w:ascii="仿宋_GB2312" w:hAnsi="仿宋" w:eastAsia="仿宋_GB2312"/>
                <w:sz w:val="24"/>
                <w:szCs w:val="24"/>
              </w:rPr>
            </w:r>
          </w:p>
          <w:p>
            <w:pPr>
              <w:pStyle w:val="633"/>
              <w:pBdr/>
              <w:spacing w:after="156"/>
              <w:ind w:left="403"/>
              <w:rPr>
                <w:rFonts w:hint="eastAsia" w:ascii="仿宋_GB2312" w:hAnsi="仿宋" w:eastAsia="仿宋_GB2312"/>
                <w:sz w:val="24"/>
                <w:szCs w:val="24"/>
              </w:rPr>
            </w:pPr>
            <w:r>
              <w:rPr>
                <w:rFonts w:hint="eastAsia" w:ascii="仿宋_GB2312" w:hAnsi="仿宋" w:eastAsia="仿宋_GB2312"/>
                <w:sz w:val="24"/>
                <w:szCs w:val="24"/>
              </w:rPr>
              <w:t xml:space="preserve">4.建立安全风险预警发布、防控措施落实、安全风险解除闭环管理制度。</w:t>
            </w:r>
            <w:r>
              <w:rPr>
                <w:rFonts w:hint="eastAsia" w:ascii="仿宋_GB2312" w:hAnsi="仿宋" w:eastAsia="仿宋_GB2312"/>
                <w:sz w:val="24"/>
                <w:szCs w:val="24"/>
              </w:rPr>
            </w:r>
            <w:r>
              <w:rPr>
                <w:rFonts w:hint="eastAsia" w:ascii="仿宋_GB2312" w:hAnsi="仿宋" w:eastAsia="仿宋_GB2312"/>
                <w:sz w:val="24"/>
                <w:szCs w:val="24"/>
              </w:rPr>
            </w:r>
          </w:p>
        </w:tc>
      </w:tr>
    </w:tbl>
    <w:p>
      <w:pPr>
        <w:pStyle w:val="633"/>
        <w:pBdr/>
        <w:spacing w:before="156" w:line="580" w:lineRule="exact"/>
        <w:ind w:firstLine="643"/>
        <w:outlineLvl w:val="1"/>
        <w:rPr>
          <w:rFonts w:ascii="楷体" w:hAnsi="楷体" w:eastAsia="楷体"/>
          <w:b/>
          <w:sz w:val="32"/>
          <w:szCs w:val="32"/>
        </w:rPr>
      </w:pPr>
      <w:r>
        <w:rPr>
          <w:rFonts w:hint="eastAsia" w:ascii="楷体" w:hAnsi="楷体" w:eastAsia="楷体"/>
          <w:b/>
          <w:sz w:val="32"/>
          <w:szCs w:val="32"/>
        </w:rPr>
        <w:t xml:space="preserve">（四）安全隐患排查治理提升工程</w:t>
      </w:r>
      <w:r>
        <w:rPr>
          <w:rFonts w:ascii="楷体" w:hAnsi="楷体" w:eastAsia="楷体"/>
          <w:b/>
          <w:sz w:val="32"/>
          <w:szCs w:val="32"/>
        </w:rPr>
      </w:r>
      <w:r>
        <w:rPr>
          <w:rFonts w:ascii="楷体" w:hAnsi="楷体" w:eastAsia="楷体"/>
          <w:b/>
          <w:sz w:val="32"/>
          <w:szCs w:val="32"/>
        </w:rPr>
      </w:r>
    </w:p>
    <w:p>
      <w:pPr>
        <w:pStyle w:val="633"/>
        <w:pBdr/>
        <w:spacing w:line="560" w:lineRule="exact"/>
        <w:ind w:firstLine="640"/>
        <w:rPr>
          <w:rFonts w:ascii="仿宋_GB2312" w:hAnsi="仿宋" w:eastAsia="仿宋_GB2312"/>
          <w:sz w:val="32"/>
          <w:szCs w:val="32"/>
        </w:rPr>
      </w:pPr>
      <w:r>
        <w:rPr>
          <w:rFonts w:hint="eastAsia" w:ascii="仿宋_GB2312" w:hAnsi="仿宋" w:eastAsia="仿宋_GB2312"/>
          <w:sz w:val="32"/>
          <w:szCs w:val="32"/>
        </w:rPr>
        <w:t xml:space="preserve">牢固树立安全隐患风险意识，完善安全隐患排查治理长效机制；巩固安全隐患排查治理优良传统；充分运用现代化手段，强化安全隐患排查治理协调机制。</w:t>
      </w:r>
      <w:r>
        <w:rPr>
          <w:rFonts w:ascii="仿宋_GB2312" w:hAnsi="仿宋" w:eastAsia="仿宋_GB2312"/>
          <w:sz w:val="32"/>
          <w:szCs w:val="32"/>
        </w:rPr>
      </w:r>
      <w:r>
        <w:rPr>
          <w:rFonts w:ascii="仿宋_GB2312" w:hAnsi="仿宋" w:eastAsia="仿宋_GB2312"/>
          <w:sz w:val="32"/>
          <w:szCs w:val="32"/>
        </w:rPr>
      </w:r>
    </w:p>
    <w:p>
      <w:pPr>
        <w:pStyle w:val="633"/>
        <w:pBdr/>
        <w:spacing w:after="156" w:line="560" w:lineRule="exact"/>
        <w:ind w:firstLine="640"/>
        <w:rPr>
          <w:rFonts w:hint="eastAsia" w:ascii="仿宋_GB2312" w:hAnsi="仿宋" w:eastAsia="仿宋_GB2312"/>
          <w:sz w:val="32"/>
          <w:szCs w:val="32"/>
        </w:rPr>
      </w:pPr>
      <w:r>
        <w:rPr>
          <w:rFonts w:hint="eastAsia" w:ascii="仿宋_GB2312" w:hAnsi="仿宋" w:eastAsia="仿宋_GB2312"/>
          <w:sz w:val="32"/>
          <w:szCs w:val="32"/>
        </w:rPr>
        <w:t xml:space="preserve">制定安全隐患排查治理导则；建立安全隐患排查治理联网信息平台，实施安全隐患排查治理定期发布机制；健全各级双报告制度；利用大数据、可靠性分析、设备智能诊断等技术提高隐患排查治理能力；健全落实重大隐患挂牌督办制度。</w:t>
      </w:r>
      <w:r>
        <w:rPr>
          <w:rFonts w:hint="eastAsia" w:ascii="仿宋_GB2312" w:hAnsi="仿宋" w:eastAsia="仿宋_GB2312"/>
          <w:sz w:val="32"/>
          <w:szCs w:val="32"/>
        </w:rPr>
      </w:r>
      <w:r>
        <w:rPr>
          <w:rFonts w:hint="eastAsia" w:ascii="仿宋_GB2312" w:hAnsi="仿宋" w:eastAsia="仿宋_GB2312"/>
          <w:sz w:val="32"/>
          <w:szCs w:val="32"/>
        </w:rPr>
      </w:r>
    </w:p>
    <w:tbl>
      <w:tblPr>
        <w:tblW w:w="0" w:type="auto"/>
        <w:jc w:val="center"/>
        <w:tblInd w:w="-108" w:type="dxa"/>
        <w:tblBorders>
          <w:top w:val="single" w:color="000000" w:sz="6" w:space="0"/>
          <w:left w:val="single" w:color="000000" w:sz="6" w:space="0"/>
          <w:bottom w:val="single" w:color="000000" w:sz="6" w:space="0"/>
          <w:right w:val="single" w:color="000000" w:sz="6" w:space="0"/>
          <w:insideH w:val="none" w:color="000000" w:sz="0" w:space="0"/>
          <w:insideV w:val="none" w:color="000000" w:sz="0" w:space="0"/>
        </w:tblBorders>
        <w:tblLayout w:type="fixed"/>
        <w:tblCellMar>
          <w:left w:w="108" w:type="dxa"/>
          <w:top w:w="0" w:type="dxa"/>
          <w:right w:w="108" w:type="dxa"/>
          <w:bottom w:w="0" w:type="dxa"/>
        </w:tblCellMar>
        <w:tblLook w:val="04A0" w:firstRow="1" w:lastRow="0" w:firstColumn="1" w:lastColumn="0" w:noHBand="0" w:noVBand="1"/>
      </w:tblPr>
      <w:tblGrid>
        <w:gridCol w:w="9072"/>
      </w:tblGrid>
      <w:tr>
        <w:trPr>
          <w:trHeight w:val="510" w:hRule="exact"/>
        </w:trPr>
        <w:tc>
          <w:tcPr>
            <w:tcBorders/>
            <w:tcMar>
              <w:left w:w="108" w:type="dxa"/>
              <w:top w:w="0" w:type="dxa"/>
              <w:right w:w="108" w:type="dxa"/>
              <w:bottom w:w="0" w:type="dxa"/>
            </w:tcMar>
            <w:tcW w:w="9072" w:type="dxa"/>
            <w:vAlign w:val="center"/>
            <w:textDirection w:val="lrTb"/>
            <w:noWrap w:val="false"/>
          </w:tcPr>
          <w:p>
            <w:pPr>
              <w:pStyle w:val="633"/>
              <w:pBdr/>
              <w:spacing/>
              <w:ind w:firstLine="480"/>
              <w:jc w:val="center"/>
              <w:rPr>
                <w:rFonts w:hint="eastAsia" w:ascii="仿宋_GB2312" w:hAnsi="华文仿宋" w:eastAsia="仿宋_GB2312"/>
                <w:sz w:val="24"/>
                <w:szCs w:val="21"/>
              </w:rPr>
            </w:pPr>
            <w:r>
              <w:rPr>
                <w:rFonts w:hint="eastAsia" w:ascii="仿宋_GB2312" w:hAnsi="华文仿宋" w:eastAsia="仿宋_GB2312"/>
                <w:sz w:val="24"/>
                <w:szCs w:val="21"/>
              </w:rPr>
              <w:t xml:space="preserve">专栏4 安全隐患排查治理能力提升工程</w:t>
            </w:r>
            <w:r>
              <w:rPr>
                <w:rFonts w:hint="eastAsia" w:ascii="仿宋_GB2312" w:hAnsi="华文仿宋" w:eastAsia="仿宋_GB2312"/>
                <w:sz w:val="24"/>
                <w:szCs w:val="21"/>
              </w:rPr>
            </w:r>
            <w:r>
              <w:rPr>
                <w:rFonts w:hint="eastAsia" w:ascii="仿宋_GB2312" w:hAnsi="华文仿宋" w:eastAsia="仿宋_GB2312"/>
                <w:sz w:val="24"/>
                <w:szCs w:val="21"/>
              </w:rPr>
            </w:r>
          </w:p>
        </w:tc>
      </w:tr>
      <w:tr>
        <w:trPr/>
        <w:tc>
          <w:tcPr>
            <w:tcBorders/>
            <w:tcMar>
              <w:left w:w="108" w:type="dxa"/>
              <w:top w:w="0" w:type="dxa"/>
              <w:right w:w="108" w:type="dxa"/>
              <w:bottom w:w="0" w:type="dxa"/>
            </w:tcMar>
            <w:tcW w:w="9072" w:type="dxa"/>
            <w:vAlign w:val="top"/>
            <w:textDirection w:val="lrTb"/>
            <w:noWrap w:val="false"/>
          </w:tcPr>
          <w:p>
            <w:pPr>
              <w:pStyle w:val="633"/>
              <w:pBdr/>
              <w:spacing w:before="156"/>
              <w:ind w:firstLine="480"/>
              <w:rPr>
                <w:rFonts w:hint="eastAsia" w:ascii="仿宋_GB2312" w:hAnsi="华文仿宋" w:eastAsia="仿宋_GB2312"/>
                <w:sz w:val="24"/>
                <w:szCs w:val="21"/>
              </w:rPr>
            </w:pPr>
            <w:r>
              <w:rPr>
                <w:rFonts w:hint="eastAsia" w:ascii="仿宋_GB2312" w:hAnsi="华文仿宋" w:eastAsia="仿宋_GB2312"/>
                <w:sz w:val="24"/>
                <w:szCs w:val="21"/>
              </w:rPr>
              <w:t xml:space="preserve">1.制定安全隐患排查治理导则</w:t>
            </w:r>
            <w:r>
              <w:rPr>
                <w:rFonts w:hint="eastAsia" w:ascii="仿宋_GB2312" w:hAnsi="华文仿宋" w:eastAsia="仿宋_GB2312"/>
                <w:sz w:val="24"/>
                <w:szCs w:val="21"/>
              </w:rPr>
            </w:r>
            <w:r>
              <w:rPr>
                <w:rFonts w:hint="eastAsia" w:ascii="仿宋_GB2312" w:hAnsi="华文仿宋" w:eastAsia="仿宋_GB2312"/>
                <w:sz w:val="24"/>
                <w:szCs w:val="21"/>
              </w:rPr>
            </w:r>
          </w:p>
          <w:p>
            <w:pPr>
              <w:pStyle w:val="633"/>
              <w:pBdr/>
              <w:spacing w:line="276" w:lineRule="auto"/>
              <w:ind w:firstLine="480"/>
              <w:rPr>
                <w:rFonts w:hint="eastAsia" w:ascii="仿宋_GB2312" w:hAnsi="华文仿宋" w:eastAsia="仿宋_GB2312"/>
                <w:sz w:val="24"/>
                <w:szCs w:val="21"/>
              </w:rPr>
            </w:pPr>
            <w:r>
              <w:rPr>
                <w:rFonts w:hint="eastAsia" w:ascii="仿宋_GB2312" w:hAnsi="华文仿宋" w:eastAsia="仿宋_GB2312"/>
                <w:sz w:val="24"/>
                <w:szCs w:val="21"/>
              </w:rPr>
              <w:t xml:space="preserve">2.建立安全隐患排查治理联网信息平台</w:t>
            </w:r>
            <w:r>
              <w:rPr>
                <w:rFonts w:hint="eastAsia" w:ascii="仿宋_GB2312" w:hAnsi="华文仿宋" w:eastAsia="仿宋_GB2312"/>
                <w:sz w:val="24"/>
                <w:szCs w:val="21"/>
              </w:rPr>
            </w:r>
            <w:r>
              <w:rPr>
                <w:rFonts w:hint="eastAsia" w:ascii="仿宋_GB2312" w:hAnsi="华文仿宋" w:eastAsia="仿宋_GB2312"/>
                <w:sz w:val="24"/>
                <w:szCs w:val="21"/>
              </w:rPr>
            </w:r>
          </w:p>
          <w:p>
            <w:pPr>
              <w:pStyle w:val="633"/>
              <w:pBdr/>
              <w:spacing w:after="156"/>
              <w:ind w:firstLine="480"/>
              <w:rPr>
                <w:rFonts w:hint="eastAsia" w:ascii="仿宋_GB2312" w:hAnsi="仿宋" w:eastAsia="仿宋_GB2312"/>
                <w:sz w:val="24"/>
                <w:szCs w:val="24"/>
              </w:rPr>
            </w:pPr>
            <w:r>
              <w:rPr>
                <w:rFonts w:hint="eastAsia" w:ascii="仿宋_GB2312" w:hAnsi="华文仿宋" w:eastAsia="仿宋_GB2312"/>
                <w:sz w:val="24"/>
                <w:szCs w:val="21"/>
              </w:rPr>
              <w:t xml:space="preserve">3.</w:t>
            </w:r>
            <w:r>
              <w:rPr>
                <w:rFonts w:hint="eastAsia" w:ascii="仿宋_GB2312" w:hAnsi="仿宋" w:eastAsia="仿宋_GB2312"/>
                <w:sz w:val="24"/>
                <w:szCs w:val="24"/>
              </w:rPr>
              <w:t xml:space="preserve">建立重大隐患挂牌督办制度。</w:t>
            </w:r>
            <w:r>
              <w:rPr>
                <w:rFonts w:hint="eastAsia" w:ascii="仿宋_GB2312" w:hAnsi="仿宋" w:eastAsia="仿宋_GB2312"/>
                <w:sz w:val="24"/>
                <w:szCs w:val="24"/>
              </w:rPr>
            </w:r>
            <w:r>
              <w:rPr>
                <w:rFonts w:hint="eastAsia" w:ascii="仿宋_GB2312" w:hAnsi="仿宋" w:eastAsia="仿宋_GB2312"/>
                <w:sz w:val="24"/>
                <w:szCs w:val="24"/>
              </w:rPr>
            </w:r>
          </w:p>
        </w:tc>
      </w:tr>
    </w:tbl>
    <w:p>
      <w:pPr>
        <w:pStyle w:val="633"/>
        <w:pBdr/>
        <w:spacing w:before="156" w:line="560" w:lineRule="exact"/>
        <w:ind w:firstLine="643"/>
        <w:outlineLvl w:val="1"/>
        <w:rPr>
          <w:rFonts w:hint="eastAsia" w:ascii="楷体" w:hAnsi="楷体" w:eastAsia="楷体"/>
          <w:b/>
          <w:sz w:val="32"/>
          <w:szCs w:val="32"/>
        </w:rPr>
      </w:pPr>
      <w:r>
        <w:rPr>
          <w:rFonts w:hint="eastAsia" w:ascii="楷体" w:hAnsi="楷体" w:eastAsia="楷体"/>
          <w:b/>
          <w:sz w:val="32"/>
          <w:szCs w:val="32"/>
        </w:rPr>
        <w:t xml:space="preserve">（五）安全科技支撑工程</w:t>
      </w:r>
      <w:r>
        <w:rPr>
          <w:rFonts w:hint="eastAsia" w:ascii="楷体" w:hAnsi="楷体" w:eastAsia="楷体"/>
          <w:b/>
          <w:sz w:val="32"/>
          <w:szCs w:val="32"/>
        </w:rPr>
      </w:r>
      <w:r>
        <w:rPr>
          <w:rFonts w:hint="eastAsia" w:ascii="楷体" w:hAnsi="楷体" w:eastAsia="楷体"/>
          <w:b/>
          <w:sz w:val="32"/>
          <w:szCs w:val="32"/>
        </w:rPr>
      </w:r>
    </w:p>
    <w:p>
      <w:pPr>
        <w:pStyle w:val="633"/>
        <w:pBdr/>
        <w:spacing w:line="560" w:lineRule="exact"/>
        <w:ind w:firstLine="640"/>
        <w:rPr>
          <w:rFonts w:ascii="仿宋_GB2312" w:hAnsi="仿宋" w:eastAsia="仿宋_GB2312"/>
          <w:sz w:val="32"/>
          <w:szCs w:val="32"/>
        </w:rPr>
      </w:pPr>
      <w:r>
        <w:rPr>
          <w:rFonts w:hint="eastAsia" w:ascii="仿宋_GB2312" w:hAnsi="仿宋" w:eastAsia="仿宋_GB2312"/>
          <w:sz w:val="32"/>
          <w:szCs w:val="32"/>
        </w:rPr>
        <w:t xml:space="preserve">建立政府指导、科研院校、企业参与的科研机构或实验基地，开展安全生产规律性、关联性特征分析，开展电力安全理论及技术研究。</w:t>
      </w:r>
      <w:r>
        <w:rPr>
          <w:rFonts w:ascii="仿宋_GB2312" w:hAnsi="仿宋" w:eastAsia="仿宋_GB2312"/>
          <w:sz w:val="32"/>
          <w:szCs w:val="32"/>
        </w:rPr>
      </w:r>
      <w:r>
        <w:rPr>
          <w:rFonts w:ascii="仿宋_GB2312" w:hAnsi="仿宋" w:eastAsia="仿宋_GB2312"/>
          <w:sz w:val="32"/>
          <w:szCs w:val="32"/>
        </w:rPr>
      </w:r>
    </w:p>
    <w:p>
      <w:pPr>
        <w:pStyle w:val="633"/>
        <w:pBdr/>
        <w:spacing w:line="560" w:lineRule="exact"/>
        <w:ind w:firstLine="640"/>
        <w:rPr>
          <w:rFonts w:ascii="仿宋_GB2312" w:hAnsi="仿宋" w:eastAsia="仿宋_GB2312"/>
          <w:sz w:val="32"/>
          <w:szCs w:val="32"/>
        </w:rPr>
      </w:pPr>
      <w:r>
        <w:rPr>
          <w:rFonts w:hint="eastAsia" w:ascii="仿宋_GB2312" w:hAnsi="仿宋" w:eastAsia="仿宋_GB2312"/>
          <w:sz w:val="32"/>
          <w:szCs w:val="32"/>
        </w:rPr>
        <w:t xml:space="preserve">推进电力安全信息大数据应用研究，发挥设备可靠性数据的作用，开展将设备可靠性数据用于指导设备全过程管理，实现各类安全风险的动态监控。</w:t>
      </w:r>
      <w:r>
        <w:rPr>
          <w:rFonts w:ascii="仿宋_GB2312" w:hAnsi="仿宋" w:eastAsia="仿宋_GB2312"/>
          <w:sz w:val="32"/>
          <w:szCs w:val="32"/>
        </w:rPr>
      </w:r>
      <w:r>
        <w:rPr>
          <w:rFonts w:ascii="仿宋_GB2312" w:hAnsi="仿宋" w:eastAsia="仿宋_GB2312"/>
          <w:sz w:val="32"/>
          <w:szCs w:val="32"/>
        </w:rPr>
      </w:r>
    </w:p>
    <w:p>
      <w:pPr>
        <w:pStyle w:val="633"/>
        <w:pBdr/>
        <w:spacing w:line="560" w:lineRule="exact"/>
        <w:ind w:firstLine="640"/>
        <w:rPr>
          <w:rFonts w:ascii="仿宋_GB2312" w:hAnsi="仿宋" w:eastAsia="仿宋_GB2312"/>
          <w:sz w:val="32"/>
          <w:szCs w:val="32"/>
        </w:rPr>
      </w:pPr>
      <w:r>
        <w:rPr>
          <w:rFonts w:hint="eastAsia" w:ascii="仿宋_GB2312" w:hAnsi="仿宋" w:eastAsia="仿宋_GB2312"/>
          <w:sz w:val="32"/>
          <w:szCs w:val="32"/>
        </w:rPr>
        <w:t xml:space="preserve">研发特高压核心技术，环保型高速断路器，新型智能电网调度控制系统，高可靠就地式继电保护，安全稳定防护系统。研发并推广智能化运检管控平台；推进无人机巡检和变电站巡检机器人技术的深化应用。推进新技术在新能源机组的应用。研究并推进人工智能技术在电力安全控制中的应用。</w:t>
      </w:r>
      <w:r>
        <w:rPr>
          <w:rFonts w:ascii="仿宋_GB2312" w:hAnsi="仿宋" w:eastAsia="仿宋_GB2312"/>
          <w:sz w:val="32"/>
          <w:szCs w:val="32"/>
        </w:rPr>
      </w:r>
      <w:r>
        <w:rPr>
          <w:rFonts w:ascii="仿宋_GB2312" w:hAnsi="仿宋" w:eastAsia="仿宋_GB2312"/>
          <w:sz w:val="32"/>
          <w:szCs w:val="32"/>
        </w:rPr>
      </w:r>
    </w:p>
    <w:p>
      <w:pPr>
        <w:pStyle w:val="633"/>
        <w:pBdr/>
        <w:spacing w:after="156" w:line="560" w:lineRule="exact"/>
        <w:ind w:firstLine="640"/>
        <w:rPr>
          <w:rFonts w:hint="eastAsia" w:ascii="仿宋_GB2312" w:hAnsi="仿宋" w:eastAsia="仿宋_GB2312"/>
          <w:sz w:val="32"/>
          <w:szCs w:val="32"/>
        </w:rPr>
      </w:pPr>
      <w:r>
        <w:rPr>
          <w:rFonts w:hint="eastAsia" w:ascii="仿宋_GB2312" w:hAnsi="仿宋" w:eastAsia="仿宋_GB2312"/>
          <w:sz w:val="32"/>
          <w:szCs w:val="32"/>
        </w:rPr>
        <w:t xml:space="preserve">开展电力网络信息安全监控预警技术深化研究与应用，积极探索云计算、大数据等下一代电力网络与信息安全智能防御关键技术。</w:t>
      </w:r>
      <w:r>
        <w:rPr>
          <w:rFonts w:hint="eastAsia" w:ascii="仿宋_GB2312" w:hAnsi="仿宋" w:eastAsia="仿宋_GB2312"/>
          <w:sz w:val="32"/>
          <w:szCs w:val="32"/>
        </w:rPr>
      </w:r>
      <w:r>
        <w:rPr>
          <w:rFonts w:hint="eastAsia" w:ascii="仿宋_GB2312" w:hAnsi="仿宋" w:eastAsia="仿宋_GB2312"/>
          <w:sz w:val="32"/>
          <w:szCs w:val="32"/>
        </w:rPr>
      </w:r>
    </w:p>
    <w:tbl>
      <w:tblPr>
        <w:tblW w:w="0" w:type="auto"/>
        <w:jc w:val="center"/>
        <w:tblInd w:w="-108" w:type="dxa"/>
        <w:tblBorders>
          <w:top w:val="single" w:color="000000" w:sz="6" w:space="0"/>
          <w:left w:val="single" w:color="000000" w:sz="6" w:space="0"/>
          <w:bottom w:val="single" w:color="000000" w:sz="6" w:space="0"/>
          <w:right w:val="single" w:color="000000" w:sz="6" w:space="0"/>
          <w:insideH w:val="none" w:color="000000" w:sz="0" w:space="0"/>
          <w:insideV w:val="none" w:color="000000" w:sz="0" w:space="0"/>
        </w:tblBorders>
        <w:tblLayout w:type="fixed"/>
        <w:tblCellMar>
          <w:left w:w="108" w:type="dxa"/>
          <w:top w:w="0" w:type="dxa"/>
          <w:right w:w="108" w:type="dxa"/>
          <w:bottom w:w="0" w:type="dxa"/>
        </w:tblCellMar>
        <w:tblLook w:val="04A0" w:firstRow="1" w:lastRow="0" w:firstColumn="1" w:lastColumn="0" w:noHBand="0" w:noVBand="1"/>
      </w:tblPr>
      <w:tblGrid>
        <w:gridCol w:w="9189"/>
      </w:tblGrid>
      <w:tr>
        <w:trPr>
          <w:trHeight w:val="510" w:hRule="exact"/>
        </w:trPr>
        <w:tc>
          <w:tcPr>
            <w:tcBorders/>
            <w:tcMar>
              <w:left w:w="108" w:type="dxa"/>
              <w:top w:w="0" w:type="dxa"/>
              <w:right w:w="108" w:type="dxa"/>
              <w:bottom w:w="0" w:type="dxa"/>
            </w:tcMar>
            <w:tcW w:w="9189" w:type="dxa"/>
            <w:vAlign w:val="center"/>
            <w:textDirection w:val="lrTb"/>
            <w:noWrap w:val="false"/>
          </w:tcPr>
          <w:p>
            <w:pPr>
              <w:pStyle w:val="633"/>
              <w:pBdr/>
              <w:spacing/>
              <w:ind w:firstLine="480"/>
              <w:jc w:val="center"/>
              <w:rPr>
                <w:rFonts w:hint="eastAsia" w:ascii="仿宋_GB2312" w:hAnsi="华文仿宋" w:eastAsia="仿宋_GB2312"/>
                <w:sz w:val="24"/>
                <w:szCs w:val="21"/>
              </w:rPr>
            </w:pPr>
            <w:r>
              <w:rPr>
                <w:rFonts w:hint="eastAsia" w:ascii="仿宋_GB2312" w:hAnsi="华文仿宋" w:eastAsia="仿宋_GB2312"/>
                <w:sz w:val="24"/>
                <w:szCs w:val="21"/>
              </w:rPr>
              <w:t xml:space="preserve">专栏5 安全科技支撑工程</w:t>
            </w:r>
            <w:r>
              <w:rPr>
                <w:rFonts w:hint="eastAsia" w:ascii="仿宋_GB2312" w:hAnsi="华文仿宋" w:eastAsia="仿宋_GB2312"/>
                <w:sz w:val="24"/>
                <w:szCs w:val="21"/>
              </w:rPr>
            </w:r>
            <w:r>
              <w:rPr>
                <w:rFonts w:hint="eastAsia" w:ascii="仿宋_GB2312" w:hAnsi="华文仿宋" w:eastAsia="仿宋_GB2312"/>
                <w:sz w:val="24"/>
                <w:szCs w:val="21"/>
              </w:rPr>
            </w:r>
          </w:p>
        </w:tc>
      </w:tr>
      <w:tr>
        <w:trPr/>
        <w:tc>
          <w:tcPr>
            <w:tcBorders/>
            <w:tcMar>
              <w:left w:w="108" w:type="dxa"/>
              <w:top w:w="0" w:type="dxa"/>
              <w:right w:w="108" w:type="dxa"/>
              <w:bottom w:w="0" w:type="dxa"/>
            </w:tcMar>
            <w:tcW w:w="9189" w:type="dxa"/>
            <w:vAlign w:val="top"/>
            <w:textDirection w:val="lrTb"/>
            <w:noWrap w:val="false"/>
          </w:tcPr>
          <w:p>
            <w:pPr>
              <w:pStyle w:val="633"/>
              <w:pBdr/>
              <w:spacing w:before="156"/>
              <w:ind w:firstLine="480"/>
              <w:rPr>
                <w:rFonts w:hint="eastAsia" w:ascii="仿宋_GB2312" w:hAnsi="华文仿宋" w:eastAsia="仿宋_GB2312"/>
                <w:sz w:val="24"/>
                <w:szCs w:val="21"/>
              </w:rPr>
            </w:pPr>
            <w:r>
              <w:rPr>
                <w:rFonts w:hint="eastAsia" w:ascii="仿宋_GB2312" w:hAnsi="华文仿宋" w:eastAsia="仿宋_GB2312"/>
                <w:sz w:val="24"/>
                <w:szCs w:val="21"/>
              </w:rPr>
              <w:t xml:space="preserve">1.建立政府指导、科研院校、企业参与的科研机构或实验基地。</w:t>
            </w:r>
            <w:r>
              <w:rPr>
                <w:rFonts w:hint="eastAsia" w:ascii="仿宋_GB2312" w:hAnsi="华文仿宋" w:eastAsia="仿宋_GB2312"/>
                <w:sz w:val="24"/>
                <w:szCs w:val="21"/>
              </w:rPr>
            </w:r>
            <w:r>
              <w:rPr>
                <w:rFonts w:hint="eastAsia" w:ascii="仿宋_GB2312" w:hAnsi="华文仿宋" w:eastAsia="仿宋_GB2312"/>
                <w:sz w:val="24"/>
                <w:szCs w:val="21"/>
              </w:rPr>
            </w:r>
          </w:p>
          <w:p>
            <w:pPr>
              <w:pStyle w:val="633"/>
              <w:pBdr/>
              <w:spacing w:line="276" w:lineRule="auto"/>
              <w:ind w:firstLine="480"/>
              <w:rPr>
                <w:rFonts w:hint="eastAsia" w:ascii="仿宋_GB2312" w:hAnsi="华文仿宋" w:eastAsia="仿宋_GB2312"/>
                <w:sz w:val="24"/>
                <w:szCs w:val="21"/>
              </w:rPr>
            </w:pPr>
            <w:r>
              <w:rPr>
                <w:rFonts w:hint="eastAsia" w:ascii="仿宋_GB2312" w:hAnsi="华文仿宋" w:eastAsia="仿宋_GB2312"/>
                <w:sz w:val="24"/>
                <w:szCs w:val="21"/>
              </w:rPr>
              <w:t xml:space="preserve">2.研究高可靠就地式继电保护、安全稳定防护系统、新型智能电网调度控制系统。</w:t>
            </w:r>
            <w:r>
              <w:rPr>
                <w:rFonts w:hint="eastAsia" w:ascii="仿宋_GB2312" w:hAnsi="华文仿宋" w:eastAsia="仿宋_GB2312"/>
                <w:sz w:val="24"/>
                <w:szCs w:val="21"/>
              </w:rPr>
            </w:r>
            <w:r>
              <w:rPr>
                <w:rFonts w:hint="eastAsia" w:ascii="仿宋_GB2312" w:hAnsi="华文仿宋" w:eastAsia="仿宋_GB2312"/>
                <w:sz w:val="24"/>
                <w:szCs w:val="21"/>
              </w:rPr>
            </w:r>
          </w:p>
          <w:p>
            <w:pPr>
              <w:pStyle w:val="633"/>
              <w:pBdr/>
              <w:spacing w:line="276" w:lineRule="auto"/>
              <w:ind w:firstLine="480"/>
              <w:rPr>
                <w:rFonts w:hint="eastAsia" w:ascii="仿宋_GB2312" w:hAnsi="华文仿宋" w:eastAsia="仿宋_GB2312"/>
                <w:sz w:val="24"/>
                <w:szCs w:val="21"/>
              </w:rPr>
            </w:pPr>
            <w:r>
              <w:rPr>
                <w:rFonts w:hint="eastAsia" w:ascii="仿宋_GB2312" w:hAnsi="华文仿宋" w:eastAsia="仿宋_GB2312"/>
                <w:sz w:val="24"/>
                <w:szCs w:val="21"/>
              </w:rPr>
              <w:t xml:space="preserve">3.研发特高压核心技术、环保型高速断路器、环保型管道输电技术。</w:t>
            </w:r>
            <w:r>
              <w:rPr>
                <w:rFonts w:hint="eastAsia" w:ascii="仿宋_GB2312" w:hAnsi="华文仿宋" w:eastAsia="仿宋_GB2312"/>
                <w:sz w:val="24"/>
                <w:szCs w:val="21"/>
              </w:rPr>
            </w:r>
            <w:r>
              <w:rPr>
                <w:rFonts w:hint="eastAsia" w:ascii="仿宋_GB2312" w:hAnsi="华文仿宋" w:eastAsia="仿宋_GB2312"/>
                <w:sz w:val="24"/>
                <w:szCs w:val="21"/>
              </w:rPr>
            </w:r>
          </w:p>
          <w:p>
            <w:pPr>
              <w:pStyle w:val="633"/>
              <w:pBdr/>
              <w:spacing w:line="276" w:lineRule="auto"/>
              <w:ind w:firstLine="480"/>
              <w:rPr>
                <w:rFonts w:hint="eastAsia" w:ascii="仿宋_GB2312" w:hAnsi="华文仿宋" w:eastAsia="仿宋_GB2312"/>
                <w:sz w:val="24"/>
                <w:szCs w:val="21"/>
              </w:rPr>
            </w:pPr>
            <w:r>
              <w:rPr>
                <w:rFonts w:hint="eastAsia" w:ascii="仿宋_GB2312" w:hAnsi="华文仿宋" w:eastAsia="仿宋_GB2312"/>
                <w:sz w:val="24"/>
                <w:szCs w:val="21"/>
              </w:rPr>
              <w:t xml:space="preserve">4.研究新一代智能变电站技术。</w:t>
            </w:r>
            <w:r>
              <w:rPr>
                <w:rFonts w:hint="eastAsia" w:ascii="仿宋_GB2312" w:hAnsi="华文仿宋" w:eastAsia="仿宋_GB2312"/>
                <w:sz w:val="24"/>
                <w:szCs w:val="21"/>
              </w:rPr>
            </w:r>
            <w:r>
              <w:rPr>
                <w:rFonts w:hint="eastAsia" w:ascii="仿宋_GB2312" w:hAnsi="华文仿宋" w:eastAsia="仿宋_GB2312"/>
                <w:sz w:val="24"/>
                <w:szCs w:val="21"/>
              </w:rPr>
            </w:r>
          </w:p>
          <w:p>
            <w:pPr>
              <w:pStyle w:val="633"/>
              <w:pBdr/>
              <w:spacing w:line="276" w:lineRule="auto"/>
              <w:ind w:firstLine="480"/>
              <w:rPr>
                <w:rFonts w:hint="eastAsia" w:ascii="仿宋_GB2312" w:hAnsi="华文仿宋" w:eastAsia="仿宋_GB2312"/>
                <w:sz w:val="24"/>
                <w:szCs w:val="21"/>
              </w:rPr>
            </w:pPr>
            <w:r>
              <w:rPr>
                <w:rFonts w:hint="eastAsia" w:ascii="仿宋_GB2312" w:hAnsi="华文仿宋" w:eastAsia="仿宋_GB2312"/>
                <w:sz w:val="24"/>
                <w:szCs w:val="21"/>
              </w:rPr>
              <w:t xml:space="preserve">5.推进无人机巡检、输电线路巡检机器人、变电站巡检机器人技术的深化应用。</w:t>
            </w:r>
            <w:r>
              <w:rPr>
                <w:rFonts w:hint="eastAsia" w:ascii="仿宋_GB2312" w:hAnsi="华文仿宋" w:eastAsia="仿宋_GB2312"/>
                <w:sz w:val="24"/>
                <w:szCs w:val="21"/>
              </w:rPr>
            </w:r>
            <w:r>
              <w:rPr>
                <w:rFonts w:hint="eastAsia" w:ascii="仿宋_GB2312" w:hAnsi="华文仿宋" w:eastAsia="仿宋_GB2312"/>
                <w:sz w:val="24"/>
                <w:szCs w:val="21"/>
              </w:rPr>
            </w:r>
          </w:p>
          <w:p>
            <w:pPr>
              <w:pStyle w:val="633"/>
              <w:pBdr/>
              <w:spacing w:after="156"/>
              <w:ind w:firstLine="480"/>
              <w:rPr>
                <w:rFonts w:hint="eastAsia" w:ascii="仿宋_GB2312" w:hAnsi="华文仿宋" w:eastAsia="仿宋_GB2312"/>
                <w:sz w:val="24"/>
                <w:szCs w:val="21"/>
              </w:rPr>
            </w:pPr>
            <w:r>
              <w:rPr>
                <w:rFonts w:hint="eastAsia" w:ascii="仿宋_GB2312" w:hAnsi="华文仿宋" w:eastAsia="仿宋_GB2312"/>
                <w:sz w:val="24"/>
                <w:szCs w:val="21"/>
              </w:rPr>
              <w:t xml:space="preserve">6.开展电力网络信息安全监控预警技术深化研究与应用。</w:t>
            </w:r>
            <w:r>
              <w:rPr>
                <w:rFonts w:hint="eastAsia" w:ascii="仿宋_GB2312" w:hAnsi="华文仿宋" w:eastAsia="仿宋_GB2312"/>
                <w:sz w:val="24"/>
                <w:szCs w:val="21"/>
              </w:rPr>
            </w:r>
            <w:r>
              <w:rPr>
                <w:rFonts w:hint="eastAsia" w:ascii="仿宋_GB2312" w:hAnsi="华文仿宋" w:eastAsia="仿宋_GB2312"/>
                <w:sz w:val="24"/>
                <w:szCs w:val="21"/>
              </w:rPr>
            </w:r>
          </w:p>
        </w:tc>
      </w:tr>
    </w:tbl>
    <w:p>
      <w:pPr>
        <w:pStyle w:val="633"/>
        <w:pBdr/>
        <w:spacing w:before="156" w:line="560" w:lineRule="exact"/>
        <w:ind w:firstLine="643"/>
        <w:outlineLvl w:val="1"/>
        <w:rPr>
          <w:rFonts w:hint="eastAsia" w:ascii="楷体" w:hAnsi="楷体" w:eastAsia="楷体"/>
          <w:b/>
          <w:sz w:val="32"/>
          <w:szCs w:val="32"/>
        </w:rPr>
      </w:pPr>
      <w:r>
        <w:rPr>
          <w:rFonts w:hint="eastAsia" w:ascii="楷体" w:hAnsi="楷体" w:eastAsia="楷体"/>
          <w:b/>
          <w:sz w:val="32"/>
          <w:szCs w:val="32"/>
        </w:rPr>
        <w:t xml:space="preserve">（六）应急能力提升工程</w:t>
      </w:r>
      <w:r>
        <w:rPr>
          <w:rFonts w:hint="eastAsia" w:ascii="楷体" w:hAnsi="楷体" w:eastAsia="楷体"/>
          <w:b/>
          <w:sz w:val="32"/>
          <w:szCs w:val="32"/>
        </w:rPr>
      </w:r>
      <w:r>
        <w:rPr>
          <w:rFonts w:hint="eastAsia" w:ascii="楷体" w:hAnsi="楷体" w:eastAsia="楷体"/>
          <w:b/>
          <w:sz w:val="32"/>
          <w:szCs w:val="32"/>
        </w:rPr>
      </w:r>
    </w:p>
    <w:p>
      <w:pPr>
        <w:pStyle w:val="633"/>
        <w:pBdr/>
        <w:spacing w:line="560" w:lineRule="exact"/>
        <w:ind w:firstLine="640"/>
        <w:rPr>
          <w:rFonts w:ascii="仿宋_GB2312" w:hAnsi="仿宋" w:eastAsia="仿宋_GB2312"/>
          <w:sz w:val="32"/>
          <w:szCs w:val="32"/>
        </w:rPr>
      </w:pPr>
      <w:r>
        <w:rPr>
          <w:rFonts w:hint="eastAsia" w:ascii="仿宋_GB2312" w:hAnsi="仿宋" w:eastAsia="仿宋_GB2312"/>
          <w:sz w:val="32"/>
          <w:szCs w:val="32"/>
        </w:rPr>
        <w:t xml:space="preserve">建立健全京津冀、长江经济带等区域性应急协调联动机制，完善首都公共安全保障机制，推进环渤海、泛珠三角等跨省跨区应急协调联动机制建设，完善应急指挥机制和处置程序。</w:t>
      </w:r>
      <w:r>
        <w:rPr>
          <w:rFonts w:ascii="仿宋_GB2312" w:hAnsi="仿宋" w:eastAsia="仿宋_GB2312"/>
          <w:sz w:val="32"/>
          <w:szCs w:val="32"/>
        </w:rPr>
      </w:r>
      <w:r>
        <w:rPr>
          <w:rFonts w:ascii="仿宋_GB2312" w:hAnsi="仿宋" w:eastAsia="仿宋_GB2312"/>
          <w:sz w:val="32"/>
          <w:szCs w:val="32"/>
        </w:rPr>
      </w:r>
    </w:p>
    <w:p>
      <w:pPr>
        <w:pStyle w:val="633"/>
        <w:pBdr/>
        <w:spacing w:line="560" w:lineRule="exact"/>
        <w:ind w:firstLine="640"/>
        <w:rPr>
          <w:rFonts w:ascii="仿宋_GB2312" w:hAnsi="仿宋" w:eastAsia="仿宋_GB2312"/>
          <w:sz w:val="32"/>
          <w:szCs w:val="32"/>
        </w:rPr>
      </w:pPr>
      <w:r>
        <w:rPr>
          <w:rFonts w:hint="eastAsia" w:ascii="仿宋_GB2312" w:hAnsi="仿宋" w:eastAsia="仿宋_GB2312"/>
          <w:sz w:val="32"/>
          <w:szCs w:val="32"/>
        </w:rPr>
        <w:t xml:space="preserve">建立完善地市级以上电网调度控制异地分布式灾备系统，加快防范大面积停电关键技术研究与应用。</w:t>
      </w:r>
      <w:r>
        <w:rPr>
          <w:rFonts w:ascii="仿宋_GB2312" w:hAnsi="仿宋" w:eastAsia="仿宋_GB2312"/>
          <w:sz w:val="32"/>
          <w:szCs w:val="32"/>
        </w:rPr>
      </w:r>
      <w:r>
        <w:rPr>
          <w:rFonts w:ascii="仿宋_GB2312" w:hAnsi="仿宋" w:eastAsia="仿宋_GB2312"/>
          <w:sz w:val="32"/>
          <w:szCs w:val="32"/>
        </w:rPr>
      </w:r>
    </w:p>
    <w:p>
      <w:pPr>
        <w:pStyle w:val="633"/>
        <w:pBdr/>
        <w:spacing w:line="560" w:lineRule="exact"/>
        <w:ind w:firstLine="640"/>
        <w:rPr>
          <w:rFonts w:ascii="仿宋_GB2312" w:hAnsi="仿宋" w:eastAsia="仿宋_GB2312"/>
          <w:sz w:val="32"/>
          <w:szCs w:val="32"/>
        </w:rPr>
      </w:pPr>
      <w:r>
        <w:rPr>
          <w:rFonts w:hint="eastAsia" w:ascii="仿宋_GB2312" w:hAnsi="仿宋" w:eastAsia="仿宋_GB2312"/>
          <w:sz w:val="32"/>
          <w:szCs w:val="32"/>
        </w:rPr>
        <w:t xml:space="preserve">优化应急管理标准体系研究，建立统一的应急管理标准体系框架，推进应急管理基础标准制定，提升应急管理标准化水平。</w:t>
      </w:r>
      <w:r>
        <w:rPr>
          <w:rFonts w:ascii="仿宋_GB2312" w:hAnsi="仿宋" w:eastAsia="仿宋_GB2312"/>
          <w:sz w:val="32"/>
          <w:szCs w:val="32"/>
        </w:rPr>
      </w:r>
      <w:r>
        <w:rPr>
          <w:rFonts w:ascii="仿宋_GB2312" w:hAnsi="仿宋" w:eastAsia="仿宋_GB2312"/>
          <w:sz w:val="32"/>
          <w:szCs w:val="32"/>
        </w:rPr>
      </w:r>
    </w:p>
    <w:p>
      <w:pPr>
        <w:pStyle w:val="633"/>
        <w:pBdr/>
        <w:spacing w:after="156" w:line="560" w:lineRule="exact"/>
        <w:ind w:firstLine="640"/>
        <w:rPr>
          <w:rFonts w:ascii="仿宋_GB2312" w:hAnsi="仿宋" w:eastAsia="仿宋_GB2312"/>
          <w:sz w:val="32"/>
          <w:szCs w:val="32"/>
        </w:rPr>
      </w:pPr>
      <w:r>
        <w:rPr>
          <w:rFonts w:hint="eastAsia" w:ascii="仿宋_GB2312" w:hAnsi="仿宋" w:eastAsia="仿宋_GB2312"/>
          <w:sz w:val="32"/>
          <w:szCs w:val="32"/>
        </w:rPr>
        <w:t xml:space="preserve">建立健全全国水电站大坝运行安全监督管理平台，与水利部、国家防汛抗旱指挥部、国土资源部、国家地震局、国家气象局等信息互通。</w:t>
      </w:r>
      <w:r>
        <w:rPr>
          <w:rFonts w:ascii="仿宋_GB2312" w:hAnsi="仿宋" w:eastAsia="仿宋_GB2312"/>
          <w:sz w:val="32"/>
          <w:szCs w:val="32"/>
        </w:rPr>
      </w:r>
      <w:r>
        <w:rPr>
          <w:rFonts w:ascii="仿宋_GB2312" w:hAnsi="仿宋" w:eastAsia="仿宋_GB2312"/>
          <w:sz w:val="32"/>
          <w:szCs w:val="32"/>
        </w:rPr>
      </w:r>
    </w:p>
    <w:tbl>
      <w:tblPr>
        <w:tblW w:w="0" w:type="auto"/>
        <w:jc w:val="center"/>
        <w:tblInd w:w="-108" w:type="dxa"/>
        <w:tblBorders>
          <w:top w:val="single" w:color="000000" w:sz="6" w:space="0"/>
          <w:left w:val="single" w:color="000000" w:sz="6" w:space="0"/>
          <w:bottom w:val="single" w:color="000000" w:sz="6" w:space="0"/>
          <w:right w:val="single" w:color="000000" w:sz="6" w:space="0"/>
          <w:insideH w:val="none" w:color="000000" w:sz="0" w:space="0"/>
          <w:insideV w:val="none" w:color="000000" w:sz="0" w:space="0"/>
        </w:tblBorders>
        <w:tblLayout w:type="fixed"/>
        <w:tblCellMar>
          <w:left w:w="108" w:type="dxa"/>
          <w:top w:w="0" w:type="dxa"/>
          <w:right w:w="108" w:type="dxa"/>
          <w:bottom w:w="0" w:type="dxa"/>
        </w:tblCellMar>
        <w:tblLook w:val="04A0" w:firstRow="1" w:lastRow="0" w:firstColumn="1" w:lastColumn="0" w:noHBand="0" w:noVBand="1"/>
      </w:tblPr>
      <w:tblGrid>
        <w:gridCol w:w="9072"/>
      </w:tblGrid>
      <w:tr>
        <w:trPr>
          <w:trHeight w:val="510" w:hRule="exact"/>
        </w:trPr>
        <w:tc>
          <w:tcPr>
            <w:tcBorders/>
            <w:tcMar>
              <w:left w:w="108" w:type="dxa"/>
              <w:top w:w="0" w:type="dxa"/>
              <w:right w:w="108" w:type="dxa"/>
              <w:bottom w:w="0" w:type="dxa"/>
            </w:tcMar>
            <w:tcW w:w="9072" w:type="dxa"/>
            <w:vAlign w:val="center"/>
            <w:textDirection w:val="lrTb"/>
            <w:noWrap w:val="false"/>
          </w:tcPr>
          <w:p>
            <w:pPr>
              <w:pStyle w:val="633"/>
              <w:pBdr/>
              <w:spacing/>
              <w:ind w:firstLine="480"/>
              <w:jc w:val="center"/>
              <w:rPr>
                <w:rFonts w:hint="eastAsia" w:ascii="仿宋_GB2312" w:hAnsi="华文仿宋" w:eastAsia="仿宋_GB2312"/>
                <w:sz w:val="24"/>
                <w:szCs w:val="21"/>
              </w:rPr>
            </w:pPr>
            <w:r>
              <w:rPr>
                <w:rFonts w:hint="eastAsia" w:ascii="仿宋_GB2312" w:hAnsi="华文仿宋" w:eastAsia="仿宋_GB2312"/>
                <w:sz w:val="24"/>
                <w:szCs w:val="21"/>
              </w:rPr>
              <w:t xml:space="preserve">专栏6 应急能力提升工程</w:t>
            </w:r>
            <w:r>
              <w:rPr>
                <w:rFonts w:hint="eastAsia" w:ascii="仿宋_GB2312" w:hAnsi="华文仿宋" w:eastAsia="仿宋_GB2312"/>
                <w:sz w:val="24"/>
                <w:szCs w:val="21"/>
              </w:rPr>
            </w:r>
            <w:r>
              <w:rPr>
                <w:rFonts w:hint="eastAsia" w:ascii="仿宋_GB2312" w:hAnsi="华文仿宋" w:eastAsia="仿宋_GB2312"/>
                <w:sz w:val="24"/>
                <w:szCs w:val="21"/>
              </w:rPr>
            </w:r>
          </w:p>
        </w:tc>
      </w:tr>
      <w:tr>
        <w:trPr/>
        <w:tc>
          <w:tcPr>
            <w:tcBorders/>
            <w:tcMar>
              <w:left w:w="108" w:type="dxa"/>
              <w:top w:w="0" w:type="dxa"/>
              <w:right w:w="108" w:type="dxa"/>
              <w:bottom w:w="0" w:type="dxa"/>
            </w:tcMar>
            <w:tcW w:w="9072" w:type="dxa"/>
            <w:vAlign w:val="top"/>
            <w:textDirection w:val="lrTb"/>
            <w:noWrap w:val="false"/>
          </w:tcPr>
          <w:p>
            <w:pPr>
              <w:pStyle w:val="633"/>
              <w:pBdr/>
              <w:spacing w:before="156"/>
              <w:ind w:firstLine="480"/>
              <w:rPr>
                <w:rFonts w:hint="eastAsia" w:ascii="仿宋_GB2312" w:hAnsi="华文仿宋" w:eastAsia="仿宋_GB2312"/>
                <w:sz w:val="24"/>
                <w:szCs w:val="21"/>
              </w:rPr>
            </w:pPr>
            <w:r>
              <w:rPr>
                <w:rFonts w:hint="eastAsia" w:ascii="仿宋_GB2312" w:hAnsi="华文仿宋" w:eastAsia="仿宋_GB2312"/>
                <w:sz w:val="24"/>
                <w:szCs w:val="21"/>
              </w:rPr>
              <w:t xml:space="preserve">1.建立地级以上电网调度控制异地分布式灾备系统</w:t>
            </w:r>
            <w:r>
              <w:rPr>
                <w:rFonts w:hint="eastAsia" w:ascii="仿宋_GB2312" w:hAnsi="华文仿宋" w:eastAsia="仿宋_GB2312"/>
                <w:sz w:val="24"/>
                <w:szCs w:val="21"/>
              </w:rPr>
            </w:r>
            <w:r>
              <w:rPr>
                <w:rFonts w:hint="eastAsia" w:ascii="仿宋_GB2312" w:hAnsi="华文仿宋" w:eastAsia="仿宋_GB2312"/>
                <w:sz w:val="24"/>
                <w:szCs w:val="21"/>
              </w:rPr>
            </w:r>
          </w:p>
          <w:p>
            <w:pPr>
              <w:pStyle w:val="633"/>
              <w:pBdr/>
              <w:spacing w:line="276" w:lineRule="auto"/>
              <w:ind w:firstLine="480"/>
              <w:rPr>
                <w:rFonts w:hint="eastAsia" w:ascii="仿宋_GB2312" w:hAnsi="华文仿宋" w:eastAsia="仿宋_GB2312"/>
                <w:sz w:val="24"/>
                <w:szCs w:val="21"/>
              </w:rPr>
            </w:pPr>
            <w:r>
              <w:rPr>
                <w:rFonts w:hint="eastAsia" w:ascii="仿宋_GB2312" w:hAnsi="华文仿宋" w:eastAsia="仿宋_GB2312"/>
                <w:sz w:val="24"/>
                <w:szCs w:val="21"/>
              </w:rPr>
              <w:t xml:space="preserve">2.开展防范大面积停电关键技术研究与应用</w:t>
            </w:r>
            <w:r>
              <w:rPr>
                <w:rFonts w:hint="eastAsia" w:ascii="仿宋_GB2312" w:hAnsi="华文仿宋" w:eastAsia="仿宋_GB2312"/>
                <w:sz w:val="24"/>
                <w:szCs w:val="21"/>
              </w:rPr>
            </w:r>
            <w:r>
              <w:rPr>
                <w:rFonts w:hint="eastAsia" w:ascii="仿宋_GB2312" w:hAnsi="华文仿宋" w:eastAsia="仿宋_GB2312"/>
                <w:sz w:val="24"/>
                <w:szCs w:val="21"/>
              </w:rPr>
            </w:r>
          </w:p>
          <w:p>
            <w:pPr>
              <w:pStyle w:val="633"/>
              <w:pBdr/>
              <w:spacing w:line="276" w:lineRule="auto"/>
              <w:ind w:firstLine="480"/>
              <w:rPr>
                <w:rFonts w:hint="eastAsia" w:ascii="仿宋_GB2312" w:hAnsi="华文仿宋" w:eastAsia="仿宋_GB2312"/>
                <w:sz w:val="24"/>
                <w:szCs w:val="21"/>
              </w:rPr>
            </w:pPr>
            <w:r>
              <w:rPr>
                <w:rFonts w:hint="eastAsia" w:ascii="仿宋_GB2312" w:hAnsi="华文仿宋" w:eastAsia="仿宋_GB2312"/>
                <w:sz w:val="24"/>
                <w:szCs w:val="21"/>
              </w:rPr>
              <w:t xml:space="preserve">3.开展应急管理标准体系研究</w:t>
            </w:r>
            <w:r>
              <w:rPr>
                <w:rFonts w:hint="eastAsia" w:ascii="仿宋_GB2312" w:hAnsi="华文仿宋" w:eastAsia="仿宋_GB2312"/>
                <w:sz w:val="24"/>
                <w:szCs w:val="21"/>
              </w:rPr>
            </w:r>
            <w:r>
              <w:rPr>
                <w:rFonts w:hint="eastAsia" w:ascii="仿宋_GB2312" w:hAnsi="华文仿宋" w:eastAsia="仿宋_GB2312"/>
                <w:sz w:val="24"/>
                <w:szCs w:val="21"/>
              </w:rPr>
            </w:r>
          </w:p>
          <w:p>
            <w:pPr>
              <w:pStyle w:val="633"/>
              <w:pBdr/>
              <w:spacing w:after="156"/>
              <w:ind w:firstLine="480"/>
              <w:rPr>
                <w:rFonts w:hint="eastAsia" w:ascii="仿宋_GB2312" w:hAnsi="华文仿宋" w:eastAsia="仿宋_GB2312"/>
                <w:sz w:val="24"/>
                <w:szCs w:val="21"/>
              </w:rPr>
            </w:pPr>
            <w:r>
              <w:rPr>
                <w:rFonts w:hint="eastAsia" w:ascii="仿宋_GB2312" w:hAnsi="华文仿宋" w:eastAsia="仿宋_GB2312"/>
                <w:sz w:val="24"/>
                <w:szCs w:val="21"/>
              </w:rPr>
              <w:t xml:space="preserve">4.建立全国水电站大坝运行安全监督管理平台</w:t>
            </w:r>
            <w:r>
              <w:rPr>
                <w:rFonts w:hint="eastAsia" w:ascii="仿宋_GB2312" w:hAnsi="华文仿宋" w:eastAsia="仿宋_GB2312"/>
                <w:sz w:val="24"/>
                <w:szCs w:val="21"/>
              </w:rPr>
            </w:r>
            <w:r>
              <w:rPr>
                <w:rFonts w:hint="eastAsia" w:ascii="仿宋_GB2312" w:hAnsi="华文仿宋" w:eastAsia="仿宋_GB2312"/>
                <w:sz w:val="24"/>
                <w:szCs w:val="21"/>
              </w:rPr>
            </w:r>
          </w:p>
        </w:tc>
      </w:tr>
    </w:tbl>
    <w:p>
      <w:pPr>
        <w:pStyle w:val="633"/>
        <w:pBdr/>
        <w:spacing w:before="156" w:line="560" w:lineRule="exact"/>
        <w:ind w:firstLine="643"/>
        <w:outlineLvl w:val="1"/>
        <w:rPr>
          <w:rFonts w:ascii="楷体" w:hAnsi="楷体" w:eastAsia="楷体"/>
          <w:b/>
          <w:sz w:val="32"/>
          <w:szCs w:val="32"/>
        </w:rPr>
      </w:pPr>
      <w:r>
        <w:rPr>
          <w:rFonts w:hint="eastAsia" w:ascii="楷体" w:hAnsi="楷体" w:eastAsia="楷体"/>
          <w:b/>
          <w:bCs/>
          <w:sz w:val="32"/>
          <w:szCs w:val="32"/>
        </w:rPr>
        <w:t xml:space="preserve">（七）员工安全素质提升工程</w:t>
      </w:r>
      <w:r>
        <w:rPr>
          <w:rFonts w:ascii="楷体" w:hAnsi="楷体" w:eastAsia="楷体"/>
          <w:b/>
          <w:sz w:val="32"/>
          <w:szCs w:val="32"/>
        </w:rPr>
      </w:r>
      <w:r>
        <w:rPr>
          <w:rFonts w:ascii="楷体" w:hAnsi="楷体" w:eastAsia="楷体"/>
          <w:b/>
          <w:sz w:val="32"/>
          <w:szCs w:val="32"/>
        </w:rPr>
      </w:r>
    </w:p>
    <w:p>
      <w:pPr>
        <w:pStyle w:val="633"/>
        <w:pBdr/>
        <w:spacing w:after="156" w:line="560" w:lineRule="exact"/>
        <w:ind w:firstLine="640"/>
        <w:rPr>
          <w:rFonts w:ascii="仿宋_GB2312" w:hAnsi="仿宋" w:eastAsia="仿宋_GB2312"/>
          <w:sz w:val="32"/>
          <w:szCs w:val="32"/>
        </w:rPr>
      </w:pPr>
      <w:r>
        <w:rPr>
          <w:rFonts w:hint="eastAsia" w:ascii="仿宋_GB2312" w:hAnsi="仿宋" w:eastAsia="仿宋_GB2312"/>
          <w:sz w:val="32"/>
          <w:szCs w:val="32"/>
        </w:rPr>
        <w:t xml:space="preserve">建设具备宣传教育、实操实训和应急救援功能的体验式、参与式综合安全教育培训基地。建设安全生产远程宣传教育培训平台，完善培训方式方法。健全安全培训专业师资库，完善安全培训教材，推行安全生产网络教育培训。建立企业安全文化评估机制和标准，深入开展安全文化建设示范企业建设。</w:t>
      </w:r>
      <w:r>
        <w:rPr>
          <w:rFonts w:ascii="仿宋_GB2312" w:hAnsi="仿宋" w:eastAsia="仿宋_GB2312"/>
          <w:sz w:val="32"/>
          <w:szCs w:val="32"/>
        </w:rPr>
      </w:r>
      <w:r>
        <w:rPr>
          <w:rFonts w:ascii="仿宋_GB2312" w:hAnsi="仿宋" w:eastAsia="仿宋_GB2312"/>
          <w:sz w:val="32"/>
          <w:szCs w:val="32"/>
        </w:rPr>
      </w:r>
    </w:p>
    <w:tbl>
      <w:tblPr>
        <w:tblW w:w="0" w:type="auto"/>
        <w:jc w:val="center"/>
        <w:tblInd w:w="-108" w:type="dxa"/>
        <w:tblBorders>
          <w:top w:val="single" w:color="000000" w:sz="6" w:space="0"/>
          <w:left w:val="single" w:color="000000" w:sz="6" w:space="0"/>
          <w:bottom w:val="single" w:color="000000" w:sz="6" w:space="0"/>
          <w:right w:val="single" w:color="000000" w:sz="6" w:space="0"/>
          <w:insideH w:val="none" w:color="000000" w:sz="0" w:space="0"/>
          <w:insideV w:val="none" w:color="000000" w:sz="0" w:space="0"/>
        </w:tblBorders>
        <w:tblLayout w:type="fixed"/>
        <w:tblCellMar>
          <w:left w:w="108" w:type="dxa"/>
          <w:top w:w="0" w:type="dxa"/>
          <w:right w:w="108" w:type="dxa"/>
          <w:bottom w:w="0" w:type="dxa"/>
        </w:tblCellMar>
        <w:tblLook w:val="04A0" w:firstRow="1" w:lastRow="0" w:firstColumn="1" w:lastColumn="0" w:noHBand="0" w:noVBand="1"/>
      </w:tblPr>
      <w:tblGrid>
        <w:gridCol w:w="9072"/>
      </w:tblGrid>
      <w:tr>
        <w:trPr>
          <w:trHeight w:val="510" w:hRule="exact"/>
        </w:trPr>
        <w:tc>
          <w:tcPr>
            <w:tcBorders/>
            <w:tcMar>
              <w:left w:w="108" w:type="dxa"/>
              <w:top w:w="0" w:type="dxa"/>
              <w:right w:w="108" w:type="dxa"/>
              <w:bottom w:w="0" w:type="dxa"/>
            </w:tcMar>
            <w:tcW w:w="9072" w:type="dxa"/>
            <w:vAlign w:val="center"/>
            <w:textDirection w:val="lrTb"/>
            <w:noWrap w:val="false"/>
          </w:tcPr>
          <w:p>
            <w:pPr>
              <w:pStyle w:val="633"/>
              <w:pBdr/>
              <w:spacing/>
              <w:ind w:firstLine="480"/>
              <w:jc w:val="center"/>
              <w:rPr>
                <w:rFonts w:hint="eastAsia" w:ascii="仿宋_GB2312" w:hAnsi="华文仿宋" w:eastAsia="仿宋_GB2312"/>
                <w:sz w:val="24"/>
                <w:szCs w:val="21"/>
              </w:rPr>
            </w:pPr>
            <w:r>
              <w:rPr>
                <w:rFonts w:hint="eastAsia" w:ascii="仿宋_GB2312" w:hAnsi="华文仿宋" w:eastAsia="仿宋_GB2312"/>
                <w:sz w:val="24"/>
                <w:szCs w:val="21"/>
              </w:rPr>
              <w:t xml:space="preserve">专栏7 员工安全素质提升工程</w:t>
            </w:r>
            <w:r>
              <w:rPr>
                <w:rFonts w:hint="eastAsia" w:ascii="仿宋_GB2312" w:hAnsi="华文仿宋" w:eastAsia="仿宋_GB2312"/>
                <w:sz w:val="24"/>
                <w:szCs w:val="21"/>
              </w:rPr>
            </w:r>
            <w:r>
              <w:rPr>
                <w:rFonts w:hint="eastAsia" w:ascii="仿宋_GB2312" w:hAnsi="华文仿宋" w:eastAsia="仿宋_GB2312"/>
                <w:sz w:val="24"/>
                <w:szCs w:val="21"/>
              </w:rPr>
            </w:r>
          </w:p>
        </w:tc>
      </w:tr>
      <w:tr>
        <w:trPr/>
        <w:tc>
          <w:tcPr>
            <w:tcBorders/>
            <w:tcMar>
              <w:left w:w="108" w:type="dxa"/>
              <w:top w:w="0" w:type="dxa"/>
              <w:right w:w="108" w:type="dxa"/>
              <w:bottom w:w="0" w:type="dxa"/>
            </w:tcMar>
            <w:tcW w:w="9072" w:type="dxa"/>
            <w:vAlign w:val="top"/>
            <w:textDirection w:val="lrTb"/>
            <w:noWrap w:val="false"/>
          </w:tcPr>
          <w:p>
            <w:pPr>
              <w:pStyle w:val="633"/>
              <w:pBdr/>
              <w:spacing w:before="156"/>
              <w:ind w:firstLine="480"/>
              <w:rPr>
                <w:rFonts w:hint="eastAsia" w:ascii="仿宋_GB2312" w:hAnsi="华文仿宋" w:eastAsia="仿宋_GB2312"/>
                <w:sz w:val="24"/>
                <w:szCs w:val="21"/>
              </w:rPr>
            </w:pPr>
            <w:r>
              <w:rPr>
                <w:rFonts w:hint="eastAsia" w:ascii="仿宋_GB2312" w:hAnsi="华文仿宋" w:eastAsia="仿宋_GB2312"/>
                <w:sz w:val="24"/>
                <w:szCs w:val="21"/>
              </w:rPr>
              <w:t xml:space="preserve">1.建设综合安全教育培训基地</w:t>
            </w:r>
            <w:r>
              <w:rPr>
                <w:rFonts w:hint="eastAsia" w:ascii="仿宋_GB2312" w:hAnsi="华文仿宋" w:eastAsia="仿宋_GB2312"/>
                <w:sz w:val="24"/>
                <w:szCs w:val="21"/>
              </w:rPr>
            </w:r>
            <w:r>
              <w:rPr>
                <w:rFonts w:hint="eastAsia" w:ascii="仿宋_GB2312" w:hAnsi="华文仿宋" w:eastAsia="仿宋_GB2312"/>
                <w:sz w:val="24"/>
                <w:szCs w:val="21"/>
              </w:rPr>
            </w:r>
          </w:p>
          <w:p>
            <w:pPr>
              <w:pStyle w:val="633"/>
              <w:pBdr/>
              <w:spacing w:line="276" w:lineRule="auto"/>
              <w:ind w:firstLine="480"/>
              <w:rPr>
                <w:rFonts w:hint="eastAsia" w:ascii="仿宋_GB2312" w:hAnsi="华文仿宋" w:eastAsia="仿宋_GB2312"/>
                <w:sz w:val="24"/>
                <w:szCs w:val="21"/>
              </w:rPr>
            </w:pPr>
            <w:r>
              <w:rPr>
                <w:rFonts w:hint="eastAsia" w:ascii="仿宋_GB2312" w:hAnsi="华文仿宋" w:eastAsia="仿宋_GB2312"/>
                <w:sz w:val="24"/>
                <w:szCs w:val="21"/>
              </w:rPr>
              <w:t xml:space="preserve">2.建设电力安全远程宣传教育培训平台</w:t>
            </w:r>
            <w:r>
              <w:rPr>
                <w:rFonts w:hint="eastAsia" w:ascii="仿宋_GB2312" w:hAnsi="华文仿宋" w:eastAsia="仿宋_GB2312"/>
                <w:sz w:val="24"/>
                <w:szCs w:val="21"/>
              </w:rPr>
            </w:r>
            <w:r>
              <w:rPr>
                <w:rFonts w:hint="eastAsia" w:ascii="仿宋_GB2312" w:hAnsi="华文仿宋" w:eastAsia="仿宋_GB2312"/>
                <w:sz w:val="24"/>
                <w:szCs w:val="21"/>
              </w:rPr>
            </w:r>
          </w:p>
          <w:p>
            <w:pPr>
              <w:pStyle w:val="633"/>
              <w:pBdr/>
              <w:spacing w:after="156"/>
              <w:ind w:firstLine="480"/>
              <w:rPr>
                <w:rFonts w:hint="eastAsia" w:ascii="仿宋_GB2312" w:hAnsi="华文仿宋" w:eastAsia="仿宋_GB2312"/>
                <w:sz w:val="24"/>
                <w:szCs w:val="21"/>
              </w:rPr>
            </w:pPr>
            <w:r>
              <w:rPr>
                <w:rFonts w:hint="eastAsia" w:ascii="仿宋_GB2312" w:hAnsi="华文仿宋" w:eastAsia="仿宋_GB2312"/>
                <w:sz w:val="24"/>
                <w:szCs w:val="21"/>
              </w:rPr>
              <w:t xml:space="preserve">3.建立企业安全文化评估机制和标准</w:t>
            </w:r>
            <w:r>
              <w:rPr>
                <w:rFonts w:hint="eastAsia" w:ascii="仿宋_GB2312" w:hAnsi="华文仿宋" w:eastAsia="仿宋_GB2312"/>
                <w:sz w:val="24"/>
                <w:szCs w:val="21"/>
              </w:rPr>
            </w:r>
            <w:r>
              <w:rPr>
                <w:rFonts w:hint="eastAsia" w:ascii="仿宋_GB2312" w:hAnsi="华文仿宋" w:eastAsia="仿宋_GB2312"/>
                <w:sz w:val="24"/>
                <w:szCs w:val="21"/>
              </w:rPr>
            </w:r>
          </w:p>
        </w:tc>
      </w:tr>
    </w:tbl>
    <w:p>
      <w:pPr>
        <w:pStyle w:val="633"/>
        <w:pBdr/>
        <w:spacing w:before="156" w:line="560" w:lineRule="exact"/>
        <w:ind w:firstLine="643"/>
        <w:outlineLvl w:val="1"/>
        <w:rPr>
          <w:rFonts w:ascii="楷体" w:hAnsi="楷体" w:eastAsia="楷体"/>
          <w:b/>
          <w:sz w:val="32"/>
          <w:szCs w:val="32"/>
        </w:rPr>
      </w:pPr>
      <w:r>
        <w:rPr>
          <w:rFonts w:hint="eastAsia" w:ascii="楷体" w:hAnsi="楷体" w:eastAsia="楷体"/>
          <w:b/>
          <w:bCs/>
          <w:sz w:val="32"/>
          <w:szCs w:val="32"/>
        </w:rPr>
        <w:t xml:space="preserve">（八）工程建设安全管理提升工程</w:t>
      </w:r>
      <w:r>
        <w:rPr>
          <w:rFonts w:ascii="楷体" w:hAnsi="楷体" w:eastAsia="楷体"/>
          <w:b/>
          <w:sz w:val="32"/>
          <w:szCs w:val="32"/>
        </w:rPr>
      </w:r>
      <w:r>
        <w:rPr>
          <w:rFonts w:ascii="楷体" w:hAnsi="楷体" w:eastAsia="楷体"/>
          <w:b/>
          <w:sz w:val="32"/>
          <w:szCs w:val="32"/>
        </w:rPr>
      </w:r>
    </w:p>
    <w:p>
      <w:pPr>
        <w:pStyle w:val="633"/>
        <w:pBdr/>
        <w:spacing w:after="156" w:line="560" w:lineRule="exact"/>
        <w:ind w:firstLine="640"/>
        <w:rPr>
          <w:rFonts w:ascii="仿宋_GB2312" w:hAnsi="仿宋" w:eastAsia="仿宋_GB2312"/>
          <w:sz w:val="32"/>
          <w:szCs w:val="32"/>
        </w:rPr>
      </w:pPr>
      <w:r>
        <w:rPr>
          <w:rFonts w:hint="eastAsia" w:ascii="仿宋_GB2312" w:hAnsi="仿宋" w:eastAsia="仿宋_GB2312"/>
          <w:sz w:val="32"/>
          <w:szCs w:val="32"/>
        </w:rPr>
        <w:t xml:space="preserve">建立工程建设、施工安装承包商全业务流程精益管控提升机制，对外包工程实施全员、全过程、全方位、全天候精益管控。完善电力行业招标制度和标准，规范招、投标行为。开展工程施工现场安全标准化建设工程。建立分包单位安全管理工作评价、考核和退出机制。建立电力建设工程安全监管数据库和监管网络，推行安全质量“黑名单”制度。</w:t>
      </w:r>
      <w:r>
        <w:rPr>
          <w:rFonts w:ascii="仿宋_GB2312" w:hAnsi="仿宋" w:eastAsia="仿宋_GB2312"/>
          <w:sz w:val="32"/>
          <w:szCs w:val="32"/>
        </w:rPr>
      </w:r>
      <w:r>
        <w:rPr>
          <w:rFonts w:ascii="仿宋_GB2312" w:hAnsi="仿宋" w:eastAsia="仿宋_GB2312"/>
          <w:sz w:val="32"/>
          <w:szCs w:val="32"/>
        </w:rPr>
      </w:r>
    </w:p>
    <w:tbl>
      <w:tblPr>
        <w:tblW w:w="0" w:type="auto"/>
        <w:jc w:val="center"/>
        <w:tblInd w:w="-108" w:type="dxa"/>
        <w:tblBorders>
          <w:top w:val="single" w:color="000000" w:sz="6" w:space="0"/>
          <w:left w:val="single" w:color="000000" w:sz="6" w:space="0"/>
          <w:bottom w:val="single" w:color="000000" w:sz="6" w:space="0"/>
          <w:right w:val="single" w:color="000000" w:sz="6" w:space="0"/>
          <w:insideH w:val="none" w:color="000000" w:sz="0" w:space="0"/>
          <w:insideV w:val="none" w:color="000000" w:sz="0" w:space="0"/>
        </w:tblBorders>
        <w:tblLayout w:type="fixed"/>
        <w:tblCellMar>
          <w:left w:w="108" w:type="dxa"/>
          <w:top w:w="0" w:type="dxa"/>
          <w:right w:w="108" w:type="dxa"/>
          <w:bottom w:w="0" w:type="dxa"/>
        </w:tblCellMar>
        <w:tblLook w:val="04A0" w:firstRow="1" w:lastRow="0" w:firstColumn="1" w:lastColumn="0" w:noHBand="0" w:noVBand="1"/>
      </w:tblPr>
      <w:tblGrid>
        <w:gridCol w:w="9072"/>
      </w:tblGrid>
      <w:tr>
        <w:trPr>
          <w:trHeight w:val="510" w:hRule="exact"/>
        </w:trPr>
        <w:tc>
          <w:tcPr>
            <w:tcBorders/>
            <w:tcMar>
              <w:left w:w="108" w:type="dxa"/>
              <w:top w:w="0" w:type="dxa"/>
              <w:right w:w="108" w:type="dxa"/>
              <w:bottom w:w="0" w:type="dxa"/>
            </w:tcMar>
            <w:tcW w:w="9072" w:type="dxa"/>
            <w:vAlign w:val="center"/>
            <w:textDirection w:val="lrTb"/>
            <w:noWrap w:val="false"/>
          </w:tcPr>
          <w:p>
            <w:pPr>
              <w:pStyle w:val="633"/>
              <w:pBdr/>
              <w:spacing/>
              <w:ind w:firstLine="480"/>
              <w:jc w:val="center"/>
              <w:rPr>
                <w:rFonts w:hint="eastAsia" w:ascii="仿宋_GB2312" w:hAnsi="华文仿宋" w:eastAsia="仿宋_GB2312"/>
                <w:sz w:val="24"/>
                <w:szCs w:val="21"/>
              </w:rPr>
            </w:pPr>
            <w:r>
              <w:rPr>
                <w:rFonts w:hint="eastAsia" w:ascii="仿宋_GB2312" w:hAnsi="华文仿宋" w:eastAsia="仿宋_GB2312"/>
                <w:sz w:val="24"/>
                <w:szCs w:val="21"/>
              </w:rPr>
              <w:t xml:space="preserve">专栏8 工程建设安全管理提升工程</w:t>
            </w:r>
            <w:r>
              <w:rPr>
                <w:rFonts w:hint="eastAsia" w:ascii="仿宋_GB2312" w:hAnsi="华文仿宋" w:eastAsia="仿宋_GB2312"/>
                <w:sz w:val="24"/>
                <w:szCs w:val="21"/>
              </w:rPr>
            </w:r>
            <w:r>
              <w:rPr>
                <w:rFonts w:hint="eastAsia" w:ascii="仿宋_GB2312" w:hAnsi="华文仿宋" w:eastAsia="仿宋_GB2312"/>
                <w:sz w:val="24"/>
                <w:szCs w:val="21"/>
              </w:rPr>
            </w:r>
          </w:p>
        </w:tc>
      </w:tr>
      <w:tr>
        <w:trPr/>
        <w:tc>
          <w:tcPr>
            <w:tcBorders/>
            <w:tcMar>
              <w:left w:w="108" w:type="dxa"/>
              <w:top w:w="0" w:type="dxa"/>
              <w:right w:w="108" w:type="dxa"/>
              <w:bottom w:w="0" w:type="dxa"/>
            </w:tcMar>
            <w:tcW w:w="9072" w:type="dxa"/>
            <w:vAlign w:val="top"/>
            <w:textDirection w:val="lrTb"/>
            <w:noWrap w:val="false"/>
          </w:tcPr>
          <w:p>
            <w:pPr>
              <w:pStyle w:val="633"/>
              <w:pBdr/>
              <w:spacing w:before="156"/>
              <w:ind w:firstLine="480"/>
              <w:rPr>
                <w:rFonts w:hint="eastAsia" w:ascii="仿宋_GB2312" w:hAnsi="华文仿宋" w:eastAsia="仿宋_GB2312"/>
                <w:sz w:val="24"/>
                <w:szCs w:val="21"/>
              </w:rPr>
            </w:pPr>
            <w:r>
              <w:rPr>
                <w:rFonts w:hint="eastAsia" w:ascii="仿宋_GB2312" w:hAnsi="华文仿宋" w:eastAsia="仿宋_GB2312"/>
                <w:sz w:val="24"/>
                <w:szCs w:val="21"/>
              </w:rPr>
              <w:t xml:space="preserve">1.建立工程建设、施工安装承包商全业务流程精益管控提升机制。</w:t>
            </w:r>
            <w:r>
              <w:rPr>
                <w:rFonts w:hint="eastAsia" w:ascii="仿宋_GB2312" w:hAnsi="华文仿宋" w:eastAsia="仿宋_GB2312"/>
                <w:sz w:val="24"/>
                <w:szCs w:val="21"/>
              </w:rPr>
            </w:r>
            <w:r>
              <w:rPr>
                <w:rFonts w:hint="eastAsia" w:ascii="仿宋_GB2312" w:hAnsi="华文仿宋" w:eastAsia="仿宋_GB2312"/>
                <w:sz w:val="24"/>
                <w:szCs w:val="21"/>
              </w:rPr>
            </w:r>
          </w:p>
          <w:p>
            <w:pPr>
              <w:pStyle w:val="633"/>
              <w:pBdr/>
              <w:spacing w:line="276" w:lineRule="auto"/>
              <w:ind w:firstLine="480"/>
              <w:rPr>
                <w:rFonts w:hint="eastAsia" w:ascii="仿宋_GB2312" w:hAnsi="华文仿宋" w:eastAsia="仿宋_GB2312"/>
                <w:sz w:val="24"/>
                <w:szCs w:val="21"/>
              </w:rPr>
            </w:pPr>
            <w:r>
              <w:rPr>
                <w:rFonts w:hint="eastAsia" w:ascii="仿宋_GB2312" w:hAnsi="华文仿宋" w:eastAsia="仿宋_GB2312"/>
                <w:sz w:val="24"/>
                <w:szCs w:val="21"/>
              </w:rPr>
              <w:t xml:space="preserve">2.建立分包单位安全管理工作评价、考核和退出机制。</w:t>
            </w:r>
            <w:r>
              <w:rPr>
                <w:rFonts w:hint="eastAsia" w:ascii="仿宋_GB2312" w:hAnsi="华文仿宋" w:eastAsia="仿宋_GB2312"/>
                <w:sz w:val="24"/>
                <w:szCs w:val="21"/>
              </w:rPr>
            </w:r>
            <w:r>
              <w:rPr>
                <w:rFonts w:hint="eastAsia" w:ascii="仿宋_GB2312" w:hAnsi="华文仿宋" w:eastAsia="仿宋_GB2312"/>
                <w:sz w:val="24"/>
                <w:szCs w:val="21"/>
              </w:rPr>
            </w:r>
          </w:p>
          <w:p>
            <w:pPr>
              <w:pStyle w:val="633"/>
              <w:pBdr/>
              <w:spacing w:line="276" w:lineRule="auto"/>
              <w:ind w:firstLine="480"/>
              <w:rPr>
                <w:rFonts w:hint="eastAsia" w:ascii="仿宋_GB2312" w:hAnsi="华文仿宋" w:eastAsia="仿宋_GB2312"/>
                <w:sz w:val="24"/>
                <w:szCs w:val="21"/>
              </w:rPr>
            </w:pPr>
            <w:r>
              <w:rPr>
                <w:rFonts w:hint="eastAsia" w:ascii="仿宋_GB2312" w:hAnsi="华文仿宋" w:eastAsia="仿宋_GB2312"/>
                <w:sz w:val="24"/>
                <w:szCs w:val="21"/>
              </w:rPr>
              <w:t xml:space="preserve">3.建立电力建设工程安全监管数据库和监管网络。</w:t>
            </w:r>
            <w:r>
              <w:rPr>
                <w:rFonts w:hint="eastAsia" w:ascii="仿宋_GB2312" w:hAnsi="华文仿宋" w:eastAsia="仿宋_GB2312"/>
                <w:sz w:val="24"/>
                <w:szCs w:val="21"/>
              </w:rPr>
            </w:r>
            <w:r>
              <w:rPr>
                <w:rFonts w:hint="eastAsia" w:ascii="仿宋_GB2312" w:hAnsi="华文仿宋" w:eastAsia="仿宋_GB2312"/>
                <w:sz w:val="24"/>
                <w:szCs w:val="21"/>
              </w:rPr>
            </w:r>
          </w:p>
          <w:p>
            <w:pPr>
              <w:pStyle w:val="633"/>
              <w:pBdr/>
              <w:spacing w:after="156"/>
              <w:ind w:firstLine="480"/>
              <w:rPr>
                <w:rFonts w:hint="eastAsia" w:ascii="仿宋_GB2312" w:hAnsi="华文仿宋" w:eastAsia="仿宋_GB2312"/>
                <w:sz w:val="24"/>
                <w:szCs w:val="21"/>
              </w:rPr>
            </w:pPr>
            <w:r>
              <w:rPr>
                <w:rFonts w:hint="eastAsia" w:ascii="仿宋_GB2312" w:hAnsi="华文仿宋" w:eastAsia="仿宋_GB2312"/>
                <w:sz w:val="24"/>
                <w:szCs w:val="21"/>
              </w:rPr>
              <w:t xml:space="preserve">4.建立各级电力建设工程基本建设项目全过程安全管控网络平台</w:t>
            </w:r>
            <w:r>
              <w:rPr>
                <w:rFonts w:hint="eastAsia" w:ascii="仿宋_GB2312" w:hAnsi="华文仿宋" w:eastAsia="仿宋_GB2312"/>
                <w:sz w:val="24"/>
                <w:szCs w:val="21"/>
              </w:rPr>
              <w:t xml:space="preserve">。</w:t>
            </w:r>
            <w:r>
              <w:rPr>
                <w:rFonts w:hint="eastAsia" w:ascii="仿宋_GB2312" w:hAnsi="华文仿宋" w:eastAsia="仿宋_GB2312"/>
                <w:sz w:val="24"/>
                <w:szCs w:val="21"/>
              </w:rPr>
            </w:r>
            <w:r>
              <w:rPr>
                <w:rFonts w:hint="eastAsia" w:ascii="仿宋_GB2312" w:hAnsi="华文仿宋" w:eastAsia="仿宋_GB2312"/>
                <w:sz w:val="24"/>
                <w:szCs w:val="21"/>
              </w:rPr>
            </w:r>
          </w:p>
        </w:tc>
      </w:tr>
    </w:tbl>
    <w:p>
      <w:pPr>
        <w:pStyle w:val="633"/>
        <w:pBdr/>
        <w:spacing w:before="156" w:line="580" w:lineRule="exact"/>
        <w:ind w:firstLine="643"/>
        <w:outlineLvl w:val="0"/>
        <w:rPr>
          <w:rFonts w:hint="eastAsia" w:ascii="黑体" w:hAnsi="黑体" w:eastAsia="黑体"/>
          <w:b/>
          <w:bCs/>
          <w:sz w:val="32"/>
          <w:szCs w:val="32"/>
        </w:rPr>
      </w:pPr>
      <w:r>
        <w:rPr>
          <w:rFonts w:hint="eastAsia" w:ascii="黑体" w:hAnsi="黑体" w:eastAsia="黑体"/>
          <w:b/>
          <w:bCs/>
          <w:sz w:val="32"/>
          <w:szCs w:val="32"/>
        </w:rPr>
        <w:t xml:space="preserve">五、实施保障</w:t>
      </w:r>
      <w:r>
        <w:rPr>
          <w:rFonts w:hint="eastAsia" w:ascii="黑体" w:hAnsi="黑体" w:eastAsia="黑体"/>
          <w:b/>
          <w:bCs/>
          <w:sz w:val="32"/>
          <w:szCs w:val="32"/>
        </w:rPr>
      </w:r>
      <w:r>
        <w:rPr>
          <w:rFonts w:hint="eastAsia" w:ascii="黑体" w:hAnsi="黑体" w:eastAsia="黑体"/>
          <w:b/>
          <w:bCs/>
          <w:sz w:val="32"/>
          <w:szCs w:val="32"/>
        </w:rPr>
      </w:r>
    </w:p>
    <w:p>
      <w:pPr>
        <w:pStyle w:val="633"/>
        <w:pBdr/>
        <w:spacing w:line="580" w:lineRule="exact"/>
        <w:ind w:firstLine="643"/>
        <w:outlineLvl w:val="1"/>
        <w:rPr>
          <w:rFonts w:hint="eastAsia" w:ascii="楷体" w:hAnsi="楷体" w:eastAsia="楷体"/>
          <w:b/>
          <w:sz w:val="32"/>
          <w:szCs w:val="32"/>
        </w:rPr>
      </w:pPr>
      <w:r>
        <w:rPr>
          <w:rFonts w:hint="eastAsia" w:ascii="楷体" w:hAnsi="楷体" w:eastAsia="楷体"/>
          <w:b/>
          <w:sz w:val="32"/>
          <w:szCs w:val="32"/>
        </w:rPr>
        <w:t xml:space="preserve">（一）加强组织领导</w:t>
      </w:r>
      <w:r>
        <w:rPr>
          <w:rFonts w:hint="eastAsia" w:ascii="楷体" w:hAnsi="楷体" w:eastAsia="楷体"/>
          <w:b/>
          <w:sz w:val="32"/>
          <w:szCs w:val="32"/>
        </w:rPr>
      </w:r>
      <w:r>
        <w:rPr>
          <w:rFonts w:hint="eastAsia" w:ascii="楷体" w:hAnsi="楷体" w:eastAsia="楷体"/>
          <w:b/>
          <w:sz w:val="32"/>
          <w:szCs w:val="32"/>
        </w:rPr>
      </w:r>
    </w:p>
    <w:p>
      <w:pPr>
        <w:pStyle w:val="633"/>
        <w:pBdr/>
        <w:spacing w:line="580" w:lineRule="exact"/>
        <w:ind w:firstLine="640"/>
        <w:outlineLvl w:val="1"/>
        <w:rPr>
          <w:rFonts w:ascii="仿宋_GB2312" w:hAnsi="仿宋" w:eastAsia="仿宋_GB2312"/>
          <w:sz w:val="32"/>
          <w:szCs w:val="32"/>
        </w:rPr>
      </w:pPr>
      <w:r>
        <w:rPr>
          <w:rFonts w:hint="eastAsia" w:ascii="仿宋_GB2312" w:hAnsi="仿宋" w:eastAsia="仿宋_GB2312"/>
          <w:sz w:val="32"/>
          <w:szCs w:val="32"/>
        </w:rPr>
        <w:t xml:space="preserve">各级电力行政监管部门和各电力企业，要加强领导，明确分工责任，强化行动计划实施协调管理。坚持党政同责、一岗双责、齐抓共管，党政主要负责人是安全生产第一责任人。强化目标落实，有关单位和部门要制定行动计划实施方案，分解落实行动计划的主要任务和指标，明确责任主体，确定工作时序和重点，出台配套政策措施，确保行动计划目标实现。</w:t>
      </w:r>
      <w:r>
        <w:rPr>
          <w:rFonts w:ascii="仿宋_GB2312" w:hAnsi="仿宋" w:eastAsia="仿宋_GB2312"/>
          <w:sz w:val="32"/>
          <w:szCs w:val="32"/>
        </w:rPr>
      </w:r>
      <w:r>
        <w:rPr>
          <w:rFonts w:ascii="仿宋_GB2312" w:hAnsi="仿宋" w:eastAsia="仿宋_GB2312"/>
          <w:sz w:val="32"/>
          <w:szCs w:val="32"/>
        </w:rPr>
      </w:r>
    </w:p>
    <w:p>
      <w:pPr>
        <w:pStyle w:val="633"/>
        <w:pBdr/>
        <w:spacing w:line="580" w:lineRule="exact"/>
        <w:ind w:firstLine="643"/>
        <w:outlineLvl w:val="1"/>
        <w:rPr>
          <w:rFonts w:hint="eastAsia" w:ascii="楷体" w:hAnsi="楷体" w:eastAsia="楷体"/>
          <w:b/>
          <w:sz w:val="32"/>
          <w:szCs w:val="32"/>
        </w:rPr>
      </w:pPr>
      <w:r>
        <w:rPr>
          <w:rFonts w:hint="eastAsia" w:ascii="楷体" w:hAnsi="楷体" w:eastAsia="楷体"/>
          <w:b/>
          <w:sz w:val="32"/>
          <w:szCs w:val="32"/>
        </w:rPr>
        <w:t xml:space="preserve">（二）加强人员保障</w:t>
      </w:r>
      <w:r>
        <w:rPr>
          <w:rFonts w:hint="eastAsia" w:ascii="楷体" w:hAnsi="楷体" w:eastAsia="楷体"/>
          <w:b/>
          <w:sz w:val="32"/>
          <w:szCs w:val="32"/>
        </w:rPr>
      </w:r>
      <w:r>
        <w:rPr>
          <w:rFonts w:hint="eastAsia" w:ascii="楷体" w:hAnsi="楷体" w:eastAsia="楷体"/>
          <w:b/>
          <w:sz w:val="32"/>
          <w:szCs w:val="32"/>
        </w:rPr>
      </w:r>
    </w:p>
    <w:p>
      <w:pPr>
        <w:pStyle w:val="633"/>
        <w:pBdr/>
        <w:spacing w:line="560" w:lineRule="exact"/>
        <w:ind w:firstLine="640"/>
        <w:rPr>
          <w:rFonts w:hint="eastAsia" w:ascii="仿宋_GB2312" w:hAnsi="仿宋" w:eastAsia="仿宋_GB2312"/>
          <w:sz w:val="32"/>
          <w:szCs w:val="32"/>
        </w:rPr>
      </w:pPr>
      <w:r>
        <w:rPr>
          <w:rFonts w:hint="eastAsia" w:ascii="仿宋_GB2312" w:hAnsi="仿宋" w:eastAsia="仿宋_GB2312"/>
          <w:sz w:val="32"/>
          <w:szCs w:val="32"/>
        </w:rPr>
        <w:t xml:space="preserve">加强各级安全监督机构建设，保证安全监督人员足额配备，鼓励设置安全总监，强化安全管理力度。建立健全电力安全监管执法人员依法履行法定职责制度。建立健全全覆盖、多层次、经常性的电力安全培训制度，编制完善培训教材和考核标准。加强电力安全监管人员的培训。建立安全智力劳动价值薪酬分配机制，推行岗位安全技术等级认证，实行绩效与安全技能挂钩。</w:t>
      </w:r>
      <w:r>
        <w:rPr>
          <w:rFonts w:hint="eastAsia" w:ascii="仿宋_GB2312" w:hAnsi="仿宋" w:eastAsia="仿宋_GB2312"/>
          <w:sz w:val="32"/>
          <w:szCs w:val="32"/>
        </w:rPr>
      </w:r>
      <w:r>
        <w:rPr>
          <w:rFonts w:hint="eastAsia" w:ascii="仿宋_GB2312" w:hAnsi="仿宋" w:eastAsia="仿宋_GB2312"/>
          <w:sz w:val="32"/>
          <w:szCs w:val="32"/>
        </w:rPr>
      </w:r>
    </w:p>
    <w:p>
      <w:pPr>
        <w:pStyle w:val="633"/>
        <w:pBdr/>
        <w:spacing w:line="580" w:lineRule="exact"/>
        <w:ind w:firstLine="643"/>
        <w:outlineLvl w:val="1"/>
        <w:rPr>
          <w:rFonts w:hint="eastAsia" w:ascii="楷体" w:hAnsi="楷体" w:eastAsia="楷体"/>
          <w:b/>
          <w:sz w:val="32"/>
          <w:szCs w:val="32"/>
        </w:rPr>
      </w:pPr>
      <w:r>
        <w:rPr>
          <w:rFonts w:hint="eastAsia" w:ascii="楷体" w:hAnsi="楷体" w:eastAsia="楷体"/>
          <w:b/>
          <w:sz w:val="32"/>
          <w:szCs w:val="32"/>
        </w:rPr>
        <w:t xml:space="preserve">（三）完善投入机制</w:t>
      </w:r>
      <w:r>
        <w:rPr>
          <w:rFonts w:hint="eastAsia" w:ascii="楷体" w:hAnsi="楷体" w:eastAsia="楷体"/>
          <w:b/>
          <w:sz w:val="32"/>
          <w:szCs w:val="32"/>
        </w:rPr>
      </w:r>
      <w:r>
        <w:rPr>
          <w:rFonts w:hint="eastAsia" w:ascii="楷体" w:hAnsi="楷体" w:eastAsia="楷体"/>
          <w:b/>
          <w:sz w:val="32"/>
          <w:szCs w:val="32"/>
        </w:rPr>
      </w:r>
    </w:p>
    <w:p>
      <w:pPr>
        <w:pStyle w:val="633"/>
        <w:pBdr/>
        <w:spacing w:line="560" w:lineRule="exact"/>
        <w:ind w:firstLine="640"/>
        <w:rPr>
          <w:rFonts w:ascii="仿宋_GB2312" w:hAnsi="仿宋" w:eastAsia="仿宋_GB2312"/>
          <w:sz w:val="32"/>
          <w:szCs w:val="32"/>
        </w:rPr>
      </w:pPr>
      <w:r>
        <w:rPr>
          <w:rFonts w:hint="eastAsia" w:ascii="仿宋_GB2312" w:hAnsi="仿宋" w:eastAsia="仿宋_GB2312"/>
          <w:sz w:val="32"/>
          <w:szCs w:val="32"/>
        </w:rPr>
        <w:t xml:space="preserve">积极营造有利于各类投资主体公平有序竞争的安全投入环境，促进电力安全优势要素合理流动和有效配置。鼓励采用政府和社会资本合作、投资补助等多种方式，吸引社会资本参与有合理回报安全基础设施项目建设和重大安全科技攻关。加强电力安全预防及应急等专项资金使用管理，确保电力建设工程安全费用足额提取，专款专用。各级电力企业要确保安全费用投入到位。研究制定企业安全费用提取标准。</w:t>
      </w:r>
      <w:r>
        <w:rPr>
          <w:rFonts w:ascii="仿宋_GB2312" w:hAnsi="仿宋" w:eastAsia="仿宋_GB2312"/>
          <w:sz w:val="32"/>
          <w:szCs w:val="32"/>
        </w:rPr>
      </w:r>
      <w:r>
        <w:rPr>
          <w:rFonts w:ascii="仿宋_GB2312" w:hAnsi="仿宋" w:eastAsia="仿宋_GB2312"/>
          <w:sz w:val="32"/>
          <w:szCs w:val="32"/>
        </w:rPr>
      </w:r>
    </w:p>
    <w:p>
      <w:pPr>
        <w:pStyle w:val="633"/>
        <w:pBdr/>
        <w:spacing w:line="580" w:lineRule="exact"/>
        <w:ind w:firstLine="643"/>
        <w:outlineLvl w:val="1"/>
        <w:rPr>
          <w:rFonts w:hint="eastAsia" w:ascii="楷体" w:hAnsi="楷体" w:eastAsia="楷体"/>
          <w:b/>
          <w:sz w:val="32"/>
          <w:szCs w:val="32"/>
        </w:rPr>
      </w:pPr>
      <w:r>
        <w:rPr>
          <w:rFonts w:hint="eastAsia" w:ascii="楷体" w:hAnsi="楷体" w:eastAsia="楷体"/>
          <w:b/>
          <w:sz w:val="32"/>
          <w:szCs w:val="32"/>
        </w:rPr>
        <w:t xml:space="preserve">（四）加快技术创新</w:t>
      </w:r>
      <w:r>
        <w:rPr>
          <w:rFonts w:hint="eastAsia" w:ascii="楷体" w:hAnsi="楷体" w:eastAsia="楷体"/>
          <w:b/>
          <w:sz w:val="32"/>
          <w:szCs w:val="32"/>
        </w:rPr>
      </w:r>
      <w:r>
        <w:rPr>
          <w:rFonts w:hint="eastAsia" w:ascii="楷体" w:hAnsi="楷体" w:eastAsia="楷体"/>
          <w:b/>
          <w:sz w:val="32"/>
          <w:szCs w:val="32"/>
        </w:rPr>
      </w:r>
    </w:p>
    <w:p>
      <w:pPr>
        <w:pStyle w:val="633"/>
        <w:pBdr/>
        <w:spacing w:line="560" w:lineRule="exact"/>
        <w:ind w:firstLine="640"/>
        <w:rPr>
          <w:rFonts w:ascii="仿宋_GB2312" w:hAnsi="仿宋" w:eastAsia="仿宋_GB2312"/>
          <w:sz w:val="32"/>
          <w:szCs w:val="32"/>
        </w:rPr>
      </w:pPr>
      <w:r>
        <w:rPr>
          <w:rFonts w:hint="eastAsia" w:ascii="仿宋_GB2312" w:hAnsi="仿宋" w:eastAsia="仿宋_GB2312"/>
          <w:sz w:val="32"/>
          <w:szCs w:val="32"/>
        </w:rPr>
        <w:t xml:space="preserve">完善安全技术创新机制，提升自主创新能力，发挥科技创新的引领和支撑作用。建立政府、企业、社会多方参与的安全技术研发体系，推动企业与科研院校形成产学研用战略联盟。组建安全基础理论研究协同创新团队，加强共性和基础关键技术研究，做好安全技术装备研发、示范应用、规模化推广。强化电力安全关键成果储备，推动科技资源共享。</w:t>
      </w:r>
      <w:r>
        <w:rPr>
          <w:rFonts w:ascii="仿宋_GB2312" w:hAnsi="仿宋" w:eastAsia="仿宋_GB2312"/>
          <w:sz w:val="32"/>
          <w:szCs w:val="32"/>
        </w:rPr>
      </w:r>
      <w:r>
        <w:rPr>
          <w:rFonts w:ascii="仿宋_GB2312" w:hAnsi="仿宋" w:eastAsia="仿宋_GB2312"/>
          <w:sz w:val="32"/>
          <w:szCs w:val="32"/>
        </w:rPr>
      </w:r>
    </w:p>
    <w:p>
      <w:pPr>
        <w:pStyle w:val="633"/>
        <w:pBdr/>
        <w:spacing w:line="560" w:lineRule="exact"/>
        <w:ind w:firstLine="643"/>
        <w:rPr>
          <w:rFonts w:hint="eastAsia" w:ascii="楷体" w:hAnsi="楷体" w:eastAsia="楷体"/>
          <w:b/>
          <w:sz w:val="32"/>
          <w:szCs w:val="32"/>
        </w:rPr>
      </w:pPr>
      <w:r>
        <w:rPr>
          <w:rFonts w:hint="eastAsia" w:ascii="楷体" w:hAnsi="楷体" w:eastAsia="楷体"/>
          <w:b/>
          <w:sz w:val="32"/>
          <w:szCs w:val="32"/>
        </w:rPr>
        <w:t xml:space="preserve">（五）持续总结提高</w:t>
      </w:r>
      <w:r>
        <w:rPr>
          <w:rFonts w:hint="eastAsia" w:ascii="楷体" w:hAnsi="楷体" w:eastAsia="楷体"/>
          <w:b/>
          <w:sz w:val="32"/>
          <w:szCs w:val="32"/>
        </w:rPr>
      </w:r>
      <w:r>
        <w:rPr>
          <w:rFonts w:hint="eastAsia" w:ascii="楷体" w:hAnsi="楷体" w:eastAsia="楷体"/>
          <w:b/>
          <w:sz w:val="32"/>
          <w:szCs w:val="32"/>
        </w:rPr>
      </w:r>
    </w:p>
    <w:p>
      <w:pPr>
        <w:pStyle w:val="633"/>
        <w:pBdr/>
        <w:spacing w:line="560" w:lineRule="exact"/>
        <w:ind w:firstLine="640"/>
        <w:rPr>
          <w:rFonts w:hint="eastAsia" w:ascii="仿宋_GB2312" w:hAnsi="仿宋" w:eastAsia="仿宋_GB2312"/>
          <w:sz w:val="32"/>
          <w:szCs w:val="32"/>
        </w:rPr>
      </w:pPr>
      <w:r>
        <w:rPr>
          <w:rFonts w:hint="eastAsia" w:ascii="仿宋_GB2312" w:hAnsi="仿宋" w:eastAsia="仿宋_GB2312"/>
          <w:sz w:val="32"/>
          <w:szCs w:val="32"/>
        </w:rPr>
        <w:t xml:space="preserve">各级电力行政监管部门和各电力企业，要建立行动计划实施的评估制度，每年度总结行动计划实施情况，发现问题滚动修改完善，定期发布。要积极总结经验，吸取教训，完善措施，促进行动计划实施的良性循环，不断提升电力安全水平。</w:t>
      </w:r>
      <w:r>
        <w:rPr>
          <w:rFonts w:hint="eastAsia" w:ascii="仿宋_GB2312" w:hAnsi="仿宋" w:eastAsia="仿宋_GB2312"/>
          <w:sz w:val="32"/>
          <w:szCs w:val="32"/>
        </w:rPr>
      </w:r>
    </w:p>
    <w:sectPr>
      <w:footerReference w:type="default" r:id="rId8"/>
      <w:footnotePr/>
      <w:endnotePr/>
      <w:type w:val="nextPage"/>
      <w:pgSz w:h="16838" w:orient="landscape" w:w="11906"/>
      <w:pgMar w:top="2098" w:right="1531" w:bottom="1985" w:left="1531" w:header="851" w:footer="1418" w:gutter="0"/>
      <w:cols w:num="1" w:sep="0" w:space="1701" w:equalWidth="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endnote w:type="separator" w:id="-1">
    <w:p>
      <w:pPr>
        <w:pBdr/>
        <w:spacing w:after="0" w:line="240" w:lineRule="auto"/>
        <w:ind/>
        <w:rPr/>
      </w:pPr>
      <w:r/>
      <w:r>
        <w:separator/>
      </w:r>
      <w:r/>
    </w:p>
  </w:endnote>
  <w:endnote w:type="continuationSeparator" w:id="0">
    <w:p>
      <w:pPr>
        <w:pBdr/>
        <w:spacing w:after="0" w:line="240" w:lineRule="auto"/>
        <w:ind/>
        <w:rPr/>
      </w:pPr>
      <w:r/>
      <w:r>
        <w:continuationSeparator/>
      </w: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华文仿宋">
    <w:panose1 w:val="02010800040101010101"/>
  </w:font>
  <w:font w:name="华文楷体">
    <w:panose1 w:val="02010800040101010101"/>
  </w:font>
  <w:font w:name="楷体">
    <w:panose1 w:val="02010609060101010101"/>
  </w:font>
  <w:font w:name="仿宋_GB2312">
    <w:panose1 w:val="02010609060101010101"/>
  </w:font>
  <w:font w:name="仿宋">
    <w:panose1 w:val="02010609060101010101"/>
  </w:font>
  <w:font w:name="楷体_GB2312">
    <w:panose1 w:val="02010609060101010101"/>
  </w:font>
  <w:font w:name="黑体">
    <w:panose1 w:val="02010609060101010101"/>
  </w:font>
  <w:font w:name="Arial">
    <w:panose1 w:val="020B0604020202020204"/>
  </w:font>
  <w:font w:name="等线">
    <w:panose1 w:val="020B0604020202020204"/>
  </w:font>
  <w:font w:name="宋体">
    <w:panose1 w:val="02010600030101010101"/>
  </w:font>
  <w:font w:name="Times New Roman">
    <w:panose1 w:val="02020603050405020304"/>
  </w:font>
  <w:font w:name="Calibri">
    <w:panose1 w:val="020F0502020204030204"/>
  </w:font>
  <w:font w:name="Cambria">
    <w:panose1 w:val="02040503050406030204"/>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645"/>
      <w:pBdr/>
      <w:tabs>
        <w:tab w:val="center" w:leader="none" w:pos="4153"/>
        <w:tab w:val="right" w:leader="none" w:pos="8306"/>
      </w:tabs>
      <w:spacing/>
      <w:ind/>
      <w:jc w:val="center"/>
      <w:rPr>
        <w:rFonts w:ascii="宋体" w:hAnsi="宋体"/>
        <w:sz w:val="28"/>
        <w:szCs w:val="28"/>
      </w:rPr>
    </w:pPr>
    <w:r>
      <w:rPr>
        <w:rFonts w:ascii="宋体" w:hAnsi="宋体"/>
        <w:sz w:val="28"/>
        <w:szCs w:val="28"/>
      </w:rPr>
      <w:t xml:space="preserve">—</w:t>
    </w: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 xml:space="preserve">5</w:t>
    </w:r>
    <w:r>
      <w:rPr>
        <w:rFonts w:ascii="宋体" w:hAnsi="宋体"/>
        <w:sz w:val="28"/>
        <w:szCs w:val="28"/>
      </w:rPr>
      <w:fldChar w:fldCharType="end"/>
    </w:r>
    <w:r>
      <w:rPr>
        <w:rFonts w:ascii="宋体" w:hAnsi="宋体"/>
        <w:sz w:val="28"/>
        <w:szCs w:val="28"/>
      </w:rPr>
      <w:t xml:space="preserve">—</w:t>
    </w:r>
    <w:r>
      <w:rPr>
        <w:rFonts w:ascii="宋体" w:hAnsi="宋体"/>
        <w:sz w:val="28"/>
        <w:szCs w:val="28"/>
      </w:rPr>
    </w:r>
    <w:r>
      <w:rPr>
        <w:rFonts w:ascii="宋体" w:hAnsi="宋体"/>
        <w:sz w:val="28"/>
        <w:szCs w:val="28"/>
      </w:rPr>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footnote w:type="separator" w:id="-1">
    <w:p>
      <w:pPr>
        <w:pBdr/>
        <w:spacing w:after="0" w:line="240" w:lineRule="auto"/>
        <w:ind/>
        <w:rPr/>
      </w:pPr>
      <w:r/>
      <w:r>
        <w:separator/>
      </w:r>
      <w:r/>
    </w:p>
  </w:footnote>
  <w:footnote w:type="continuationSeparator" w:id="0">
    <w:p>
      <w:pPr>
        <w:pBdr/>
        <w:spacing w:after="0" w:line="240" w:lineRule="auto"/>
        <w:ind/>
        <w:rPr/>
      </w:pPr>
      <w:r/>
      <w:r>
        <w:continuationSeparator/>
      </w: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ocumentProtection/>
  <w:defaultTabStop w:val="420"/>
  <w:characterSpacingControl w:val="doNotCompress"/>
  <w:footnotePr>
    <w:pos w:val="pageBottom"/>
    <w:numFmt w:val="decimal"/>
    <w:numStart w:val="1"/>
    <w:numRestart w:val="continuous"/>
    <w:footnote w:id="-1"/>
    <w:footnote w:id="0"/>
  </w:footnotePr>
  <w:endnotePr>
    <w:pos w:val="docEnd"/>
    <w:numFmt w:val="lowerRoman"/>
    <w:numStart w:val="1"/>
    <w:numRestart w:val="continuous"/>
    <w:endnote w:id="-1"/>
    <w:endnote w:id="0"/>
  </w:endnotePr>
  <w:compat>
    <w:balanceSingleByteDoubleByteWidth w:val="true"/>
    <w:ulTrailSpace w:val="true"/>
    <w:doNotExpandShiftReturn w:val="true"/>
    <w:splitPgBreakAndParaMark w:val="true"/>
    <w:compatSetting w:name="compatibilityMode" w:uri="http://schemas.microsoft.com/office/word" w:val="1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strokecolor="000000"/>
    <o:shapelayout v:ext="edit">
      <o:idmap v:ext="edit" data="1"/>
    </o:shapelayout>
  </w:shapeDefaul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hint="default" w:ascii="Times New Roman" w:hAnsi="Times New Roman" w:eastAsia="宋体" w:cs="Times New Roman"/>
      </w:rPr>
    </w:rPrDefault>
    <w:pPrDefault>
      <w:pPr>
        <w:pBdr/>
        <w:spacing/>
        <w:ind/>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styleId="13">
    <w:name w:val="Heading 1"/>
    <w:basedOn w:val="633"/>
    <w:next w:val="633"/>
    <w:link w:val="14"/>
    <w:uiPriority w:val="9"/>
    <w:qFormat/>
    <w:pPr>
      <w:keepNext w:val="true"/>
      <w:keepLines w:val="true"/>
      <w:pBdr/>
      <w:spacing w:after="200" w:before="480"/>
      <w:ind/>
      <w:outlineLvl w:val="0"/>
    </w:pPr>
    <w:rPr>
      <w:rFonts w:ascii="等线" w:hAnsi="等线" w:eastAsia="等线" w:cs="等线"/>
      <w:sz w:val="40"/>
      <w:szCs w:val="40"/>
    </w:rPr>
  </w:style>
  <w:style w:type="character" w:styleId="14">
    <w:name w:val="Heading 1 Char"/>
    <w:basedOn w:val="11"/>
    <w:link w:val="13"/>
    <w:uiPriority w:val="9"/>
    <w:pPr>
      <w:pBdr/>
      <w:spacing/>
      <w:ind/>
    </w:pPr>
    <w:rPr>
      <w:rFonts w:ascii="等线" w:hAnsi="等线" w:eastAsia="等线" w:cs="等线"/>
      <w:sz w:val="40"/>
      <w:szCs w:val="40"/>
    </w:rPr>
  </w:style>
  <w:style w:type="paragraph" w:styleId="15">
    <w:name w:val="Heading 2"/>
    <w:basedOn w:val="633"/>
    <w:next w:val="633"/>
    <w:link w:val="16"/>
    <w:uiPriority w:val="9"/>
    <w:unhideWhenUsed/>
    <w:qFormat/>
    <w:pPr>
      <w:keepNext w:val="true"/>
      <w:keepLines w:val="true"/>
      <w:pBdr/>
      <w:spacing w:after="200" w:before="360"/>
      <w:ind/>
      <w:outlineLvl w:val="1"/>
    </w:pPr>
    <w:rPr>
      <w:rFonts w:ascii="等线" w:hAnsi="等线" w:eastAsia="等线" w:cs="等线"/>
      <w:sz w:val="34"/>
    </w:rPr>
  </w:style>
  <w:style w:type="character" w:styleId="16">
    <w:name w:val="Heading 2 Char"/>
    <w:basedOn w:val="11"/>
    <w:link w:val="15"/>
    <w:uiPriority w:val="9"/>
    <w:pPr>
      <w:pBdr/>
      <w:spacing/>
      <w:ind/>
    </w:pPr>
    <w:rPr>
      <w:rFonts w:ascii="等线" w:hAnsi="等线" w:eastAsia="等线" w:cs="等线"/>
      <w:sz w:val="34"/>
    </w:rPr>
  </w:style>
  <w:style w:type="paragraph" w:styleId="17">
    <w:name w:val="Heading 3"/>
    <w:basedOn w:val="633"/>
    <w:next w:val="633"/>
    <w:link w:val="18"/>
    <w:uiPriority w:val="9"/>
    <w:unhideWhenUsed/>
    <w:qFormat/>
    <w:pPr>
      <w:keepNext w:val="true"/>
      <w:keepLines w:val="true"/>
      <w:pBdr/>
      <w:spacing w:after="200" w:before="320"/>
      <w:ind/>
      <w:outlineLvl w:val="2"/>
    </w:pPr>
    <w:rPr>
      <w:rFonts w:ascii="等线" w:hAnsi="等线" w:eastAsia="等线" w:cs="等线"/>
      <w:sz w:val="30"/>
      <w:szCs w:val="30"/>
    </w:rPr>
  </w:style>
  <w:style w:type="character" w:styleId="18">
    <w:name w:val="Heading 3 Char"/>
    <w:basedOn w:val="11"/>
    <w:link w:val="17"/>
    <w:uiPriority w:val="9"/>
    <w:pPr>
      <w:pBdr/>
      <w:spacing/>
      <w:ind/>
    </w:pPr>
    <w:rPr>
      <w:rFonts w:ascii="等线" w:hAnsi="等线" w:eastAsia="等线" w:cs="等线"/>
      <w:sz w:val="30"/>
      <w:szCs w:val="30"/>
    </w:rPr>
  </w:style>
  <w:style w:type="paragraph" w:styleId="19">
    <w:name w:val="Heading 4"/>
    <w:basedOn w:val="633"/>
    <w:next w:val="633"/>
    <w:link w:val="20"/>
    <w:uiPriority w:val="9"/>
    <w:unhideWhenUsed/>
    <w:qFormat/>
    <w:pPr>
      <w:keepNext w:val="true"/>
      <w:keepLines w:val="true"/>
      <w:pBdr/>
      <w:spacing w:after="200" w:before="320"/>
      <w:ind/>
      <w:outlineLvl w:val="3"/>
    </w:pPr>
    <w:rPr>
      <w:rFonts w:ascii="等线" w:hAnsi="等线" w:eastAsia="等线" w:cs="等线"/>
      <w:b/>
      <w:bCs/>
      <w:sz w:val="26"/>
      <w:szCs w:val="26"/>
    </w:rPr>
  </w:style>
  <w:style w:type="character" w:styleId="20">
    <w:name w:val="Heading 4 Char"/>
    <w:basedOn w:val="11"/>
    <w:link w:val="19"/>
    <w:uiPriority w:val="9"/>
    <w:pPr>
      <w:pBdr/>
      <w:spacing/>
      <w:ind/>
    </w:pPr>
    <w:rPr>
      <w:rFonts w:ascii="等线" w:hAnsi="等线" w:eastAsia="等线" w:cs="等线"/>
      <w:b/>
      <w:bCs/>
      <w:sz w:val="26"/>
      <w:szCs w:val="26"/>
    </w:rPr>
  </w:style>
  <w:style w:type="paragraph" w:styleId="21">
    <w:name w:val="Heading 5"/>
    <w:basedOn w:val="633"/>
    <w:next w:val="633"/>
    <w:link w:val="22"/>
    <w:uiPriority w:val="9"/>
    <w:unhideWhenUsed/>
    <w:qFormat/>
    <w:pPr>
      <w:keepNext w:val="true"/>
      <w:keepLines w:val="true"/>
      <w:pBdr/>
      <w:spacing w:after="200" w:before="320"/>
      <w:ind/>
      <w:outlineLvl w:val="4"/>
    </w:pPr>
    <w:rPr>
      <w:rFonts w:ascii="等线" w:hAnsi="等线" w:eastAsia="等线" w:cs="等线"/>
      <w:b/>
      <w:bCs/>
      <w:sz w:val="24"/>
      <w:szCs w:val="24"/>
    </w:rPr>
  </w:style>
  <w:style w:type="character" w:styleId="22">
    <w:name w:val="Heading 5 Char"/>
    <w:basedOn w:val="11"/>
    <w:link w:val="21"/>
    <w:uiPriority w:val="9"/>
    <w:pPr>
      <w:pBdr/>
      <w:spacing/>
      <w:ind/>
    </w:pPr>
    <w:rPr>
      <w:rFonts w:ascii="等线" w:hAnsi="等线" w:eastAsia="等线" w:cs="等线"/>
      <w:b/>
      <w:bCs/>
      <w:sz w:val="24"/>
      <w:szCs w:val="24"/>
    </w:rPr>
  </w:style>
  <w:style w:type="paragraph" w:styleId="23">
    <w:name w:val="Heading 6"/>
    <w:basedOn w:val="633"/>
    <w:next w:val="633"/>
    <w:link w:val="24"/>
    <w:uiPriority w:val="9"/>
    <w:unhideWhenUsed/>
    <w:qFormat/>
    <w:pPr>
      <w:keepNext w:val="true"/>
      <w:keepLines w:val="true"/>
      <w:pBdr/>
      <w:spacing w:after="200" w:before="320"/>
      <w:ind/>
      <w:outlineLvl w:val="5"/>
    </w:pPr>
    <w:rPr>
      <w:rFonts w:ascii="等线" w:hAnsi="等线" w:eastAsia="等线" w:cs="等线"/>
      <w:b/>
      <w:bCs/>
      <w:sz w:val="22"/>
      <w:szCs w:val="22"/>
    </w:rPr>
  </w:style>
  <w:style w:type="character" w:styleId="24">
    <w:name w:val="Heading 6 Char"/>
    <w:basedOn w:val="11"/>
    <w:link w:val="23"/>
    <w:uiPriority w:val="9"/>
    <w:pPr>
      <w:pBdr/>
      <w:spacing/>
      <w:ind/>
    </w:pPr>
    <w:rPr>
      <w:rFonts w:ascii="等线" w:hAnsi="等线" w:eastAsia="等线" w:cs="等线"/>
      <w:b/>
      <w:bCs/>
      <w:sz w:val="22"/>
      <w:szCs w:val="22"/>
    </w:rPr>
  </w:style>
  <w:style w:type="paragraph" w:styleId="25">
    <w:name w:val="Heading 7"/>
    <w:basedOn w:val="633"/>
    <w:next w:val="633"/>
    <w:link w:val="26"/>
    <w:uiPriority w:val="9"/>
    <w:unhideWhenUsed/>
    <w:qFormat/>
    <w:pPr>
      <w:keepNext w:val="true"/>
      <w:keepLines w:val="true"/>
      <w:pBdr/>
      <w:spacing w:after="200" w:before="320"/>
      <w:ind/>
      <w:outlineLvl w:val="6"/>
    </w:pPr>
    <w:rPr>
      <w:rFonts w:ascii="等线" w:hAnsi="等线" w:eastAsia="等线" w:cs="等线"/>
      <w:b/>
      <w:bCs/>
      <w:i/>
      <w:iCs/>
      <w:sz w:val="22"/>
      <w:szCs w:val="22"/>
    </w:rPr>
  </w:style>
  <w:style w:type="character" w:styleId="26">
    <w:name w:val="Heading 7 Char"/>
    <w:basedOn w:val="11"/>
    <w:link w:val="25"/>
    <w:uiPriority w:val="9"/>
    <w:pPr>
      <w:pBdr/>
      <w:spacing/>
      <w:ind/>
    </w:pPr>
    <w:rPr>
      <w:rFonts w:ascii="等线" w:hAnsi="等线" w:eastAsia="等线" w:cs="等线"/>
      <w:b/>
      <w:bCs/>
      <w:i/>
      <w:iCs/>
      <w:sz w:val="22"/>
      <w:szCs w:val="22"/>
    </w:rPr>
  </w:style>
  <w:style w:type="paragraph" w:styleId="27">
    <w:name w:val="Heading 8"/>
    <w:basedOn w:val="633"/>
    <w:next w:val="633"/>
    <w:link w:val="28"/>
    <w:uiPriority w:val="9"/>
    <w:unhideWhenUsed/>
    <w:qFormat/>
    <w:pPr>
      <w:keepNext w:val="true"/>
      <w:keepLines w:val="true"/>
      <w:pBdr/>
      <w:spacing w:after="200" w:before="320"/>
      <w:ind/>
      <w:outlineLvl w:val="7"/>
    </w:pPr>
    <w:rPr>
      <w:rFonts w:ascii="等线" w:hAnsi="等线" w:eastAsia="等线" w:cs="等线"/>
      <w:i/>
      <w:iCs/>
      <w:sz w:val="22"/>
      <w:szCs w:val="22"/>
    </w:rPr>
  </w:style>
  <w:style w:type="character" w:styleId="28">
    <w:name w:val="Heading 8 Char"/>
    <w:basedOn w:val="11"/>
    <w:link w:val="27"/>
    <w:uiPriority w:val="9"/>
    <w:pPr>
      <w:pBdr/>
      <w:spacing/>
      <w:ind/>
    </w:pPr>
    <w:rPr>
      <w:rFonts w:ascii="等线" w:hAnsi="等线" w:eastAsia="等线" w:cs="等线"/>
      <w:i/>
      <w:iCs/>
      <w:sz w:val="22"/>
      <w:szCs w:val="22"/>
    </w:rPr>
  </w:style>
  <w:style w:type="paragraph" w:styleId="29">
    <w:name w:val="Heading 9"/>
    <w:basedOn w:val="633"/>
    <w:next w:val="633"/>
    <w:link w:val="30"/>
    <w:uiPriority w:val="9"/>
    <w:unhideWhenUsed/>
    <w:qFormat/>
    <w:pPr>
      <w:keepNext w:val="true"/>
      <w:keepLines w:val="true"/>
      <w:pBdr/>
      <w:spacing w:after="200" w:before="320"/>
      <w:ind/>
      <w:outlineLvl w:val="8"/>
    </w:pPr>
    <w:rPr>
      <w:rFonts w:ascii="等线" w:hAnsi="等线" w:eastAsia="等线" w:cs="等线"/>
      <w:i/>
      <w:iCs/>
      <w:sz w:val="21"/>
      <w:szCs w:val="21"/>
    </w:rPr>
  </w:style>
  <w:style w:type="character" w:styleId="30">
    <w:name w:val="Heading 9 Char"/>
    <w:basedOn w:val="11"/>
    <w:link w:val="29"/>
    <w:uiPriority w:val="9"/>
    <w:pPr>
      <w:pBdr/>
      <w:spacing/>
      <w:ind/>
    </w:pPr>
    <w:rPr>
      <w:rFonts w:ascii="等线" w:hAnsi="等线" w:eastAsia="等线" w:cs="等线"/>
      <w:i/>
      <w:iCs/>
      <w:sz w:val="21"/>
      <w:szCs w:val="21"/>
    </w:rPr>
  </w:style>
  <w:style w:type="paragraph" w:styleId="31">
    <w:name w:val="List Paragraph"/>
    <w:basedOn w:val="633"/>
    <w:uiPriority w:val="34"/>
    <w:qFormat/>
    <w:pPr>
      <w:pBdr/>
      <w:spacing/>
      <w:ind w:left="720"/>
      <w:contextualSpacing w:val="true"/>
    </w:pPr>
  </w:style>
  <w:style w:type="paragraph" w:styleId="33">
    <w:name w:val="No Spacing"/>
    <w:uiPriority w:val="1"/>
    <w:qFormat/>
    <w:pPr>
      <w:pBdr/>
      <w:spacing w:after="0" w:before="0" w:line="240" w:lineRule="auto"/>
      <w:ind/>
    </w:pPr>
  </w:style>
  <w:style w:type="paragraph" w:styleId="34">
    <w:name w:val="Title"/>
    <w:basedOn w:val="633"/>
    <w:next w:val="633"/>
    <w:link w:val="35"/>
    <w:uiPriority w:val="10"/>
    <w:qFormat/>
    <w:pPr>
      <w:pBdr/>
      <w:spacing w:after="200" w:before="300"/>
      <w:ind/>
      <w:contextualSpacing w:val="true"/>
    </w:pPr>
    <w:rPr>
      <w:sz w:val="48"/>
      <w:szCs w:val="48"/>
    </w:rPr>
  </w:style>
  <w:style w:type="character" w:styleId="35">
    <w:name w:val="Title Char"/>
    <w:basedOn w:val="11"/>
    <w:link w:val="34"/>
    <w:uiPriority w:val="10"/>
    <w:pPr>
      <w:pBdr/>
      <w:spacing/>
      <w:ind/>
    </w:pPr>
    <w:rPr>
      <w:sz w:val="48"/>
      <w:szCs w:val="48"/>
    </w:rPr>
  </w:style>
  <w:style w:type="paragraph" w:styleId="36">
    <w:name w:val="Subtitle"/>
    <w:basedOn w:val="633"/>
    <w:next w:val="633"/>
    <w:link w:val="37"/>
    <w:uiPriority w:val="11"/>
    <w:qFormat/>
    <w:pPr>
      <w:pBdr/>
      <w:spacing w:after="200" w:before="200"/>
      <w:ind/>
    </w:pPr>
    <w:rPr>
      <w:sz w:val="24"/>
      <w:szCs w:val="24"/>
    </w:rPr>
  </w:style>
  <w:style w:type="character" w:styleId="37">
    <w:name w:val="Subtitle Char"/>
    <w:basedOn w:val="11"/>
    <w:link w:val="36"/>
    <w:uiPriority w:val="11"/>
    <w:pPr>
      <w:pBdr/>
      <w:spacing/>
      <w:ind/>
    </w:pPr>
    <w:rPr>
      <w:sz w:val="24"/>
      <w:szCs w:val="24"/>
    </w:rPr>
  </w:style>
  <w:style w:type="paragraph" w:styleId="38">
    <w:name w:val="Quote"/>
    <w:basedOn w:val="633"/>
    <w:next w:val="633"/>
    <w:link w:val="39"/>
    <w:uiPriority w:val="29"/>
    <w:qFormat/>
    <w:pPr>
      <w:pBdr/>
      <w:spacing/>
      <w:ind w:right="720" w:left="720"/>
    </w:pPr>
    <w:rPr>
      <w:i/>
    </w:rPr>
  </w:style>
  <w:style w:type="character" w:styleId="39">
    <w:name w:val="Quote Char"/>
    <w:link w:val="38"/>
    <w:uiPriority w:val="29"/>
    <w:pPr>
      <w:pBdr/>
      <w:spacing/>
      <w:ind/>
    </w:pPr>
    <w:rPr>
      <w:i/>
    </w:rPr>
  </w:style>
  <w:style w:type="paragraph" w:styleId="40">
    <w:name w:val="Intense Quote"/>
    <w:basedOn w:val="633"/>
    <w:next w:val="633"/>
    <w:link w:val="41"/>
    <w:uiPriority w:val="30"/>
    <w:qFormat/>
    <w:pPr>
      <w:pBdr>
        <w:top w:val="single" w:color="ffffff" w:sz="4" w:space="5"/>
        <w:left w:val="single" w:color="ffffff" w:sz="4" w:space="10"/>
        <w:bottom w:val="single" w:color="ffffff" w:sz="4" w:space="5"/>
        <w:right w:val="single" w:color="ffffff" w:sz="4" w:space="10"/>
      </w:pBdr>
      <w:shd w:val="clear" w:color="auto" w:fill="f2f2f2"/>
      <w:spacing/>
      <w:ind w:right="720" w:left="720"/>
      <w:contextualSpacing w:val="false"/>
    </w:pPr>
    <w:rPr>
      <w:i/>
    </w:rPr>
  </w:style>
  <w:style w:type="character" w:styleId="41">
    <w:name w:val="Intense Quote Char"/>
    <w:link w:val="40"/>
    <w:uiPriority w:val="30"/>
    <w:pPr>
      <w:pBdr/>
      <w:spacing/>
      <w:ind/>
    </w:pPr>
    <w:rPr>
      <w:i/>
    </w:rPr>
  </w:style>
  <w:style w:type="paragraph" w:styleId="42">
    <w:name w:val="Header"/>
    <w:basedOn w:val="633"/>
    <w:link w:val="43"/>
    <w:uiPriority w:val="99"/>
    <w:unhideWhenUsed/>
    <w:pPr>
      <w:pBdr/>
      <w:tabs>
        <w:tab w:val="center" w:leader="none" w:pos="7143"/>
        <w:tab w:val="right" w:leader="none" w:pos="14287"/>
      </w:tabs>
      <w:spacing w:after="0" w:line="240" w:lineRule="auto"/>
      <w:ind/>
    </w:pPr>
  </w:style>
  <w:style w:type="character" w:styleId="43">
    <w:name w:val="Header Char"/>
    <w:basedOn w:val="11"/>
    <w:link w:val="42"/>
    <w:uiPriority w:val="99"/>
    <w:pPr>
      <w:pBdr/>
      <w:spacing/>
      <w:ind/>
    </w:pPr>
  </w:style>
  <w:style w:type="paragraph" w:styleId="44">
    <w:name w:val="Footer"/>
    <w:basedOn w:val="633"/>
    <w:link w:val="47"/>
    <w:uiPriority w:val="99"/>
    <w:unhideWhenUsed/>
    <w:pPr>
      <w:pBdr/>
      <w:tabs>
        <w:tab w:val="center" w:leader="none" w:pos="7143"/>
        <w:tab w:val="right" w:leader="none" w:pos="14287"/>
      </w:tabs>
      <w:spacing w:after="0" w:line="240" w:lineRule="auto"/>
      <w:ind/>
    </w:pPr>
  </w:style>
  <w:style w:type="character" w:styleId="45">
    <w:name w:val="Footer Char"/>
    <w:basedOn w:val="11"/>
    <w:link w:val="44"/>
    <w:uiPriority w:val="99"/>
    <w:pPr>
      <w:pBdr/>
      <w:spacing/>
      <w:ind/>
    </w:pPr>
  </w:style>
  <w:style w:type="paragraph" w:styleId="46">
    <w:name w:val="Caption"/>
    <w:basedOn w:val="633"/>
    <w:next w:val="633"/>
    <w:uiPriority w:val="35"/>
    <w:semiHidden/>
    <w:unhideWhenUsed/>
    <w:qFormat/>
    <w:pPr>
      <w:pBdr/>
      <w:spacing w:line="276" w:lineRule="auto"/>
      <w:ind/>
    </w:pPr>
    <w:rPr>
      <w:b/>
      <w:bCs/>
      <w:color w:val="4f81bd" w:themeColor="accent1"/>
      <w:sz w:val="18"/>
      <w:szCs w:val="18"/>
    </w:rPr>
  </w:style>
  <w:style w:type="character" w:styleId="47">
    <w:name w:val="Caption Char"/>
    <w:basedOn w:val="46"/>
    <w:link w:val="44"/>
    <w:uiPriority w:val="99"/>
    <w:pPr>
      <w:pBdr/>
      <w:spacing/>
      <w:ind/>
    </w:pPr>
  </w:style>
  <w:style w:type="table" w:styleId="48">
    <w:name w:val="Table Grid"/>
    <w:basedOn w:val="32"/>
    <w:uiPriority w:val="59"/>
    <w:pPr>
      <w:pBdr/>
      <w:spacing w:after="0" w:line="240" w:lineRule="auto"/>
      <w:ind/>
    </w:pPr>
    <w:tblP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left w:w="108" w:type="dxa"/>
        <w:top w:w="0" w:type="dxa"/>
        <w:right w:w="108" w:type="dxa"/>
        <w:bottom w:w="0" w:type="dxa"/>
      </w:tblCellMar>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9">
    <w:name w:val="Table Grid Light"/>
    <w:basedOn w:val="32"/>
    <w:uiPriority w:val="59"/>
    <w:pPr>
      <w:pBdr/>
      <w:spacing w:after="0" w:line="240" w:lineRule="auto"/>
      <w:ind/>
    </w:pPr>
    <w:tblPr>
      <w:tblInd w:w="0" w:type="dxa"/>
      <w:tblBorders>
        <w:top w:val="single" w:color="000000" w:themeColor="text1" w:themeTint="50" w:sz="4" w:space="0"/>
        <w:left w:val="single" w:color="000000" w:themeColor="text1" w:themeTint="50" w:sz="4" w:space="0"/>
        <w:bottom w:val="single" w:color="000000" w:themeColor="text1" w:themeTint="50" w:sz="4" w:space="0"/>
        <w:right w:val="single" w:color="000000" w:themeColor="text1" w:themeTint="50" w:sz="4" w:space="0"/>
        <w:insideH w:val="single" w:color="000000" w:themeColor="text1" w:themeTint="50" w:sz="4" w:space="0"/>
        <w:insideV w:val="single" w:color="000000" w:themeColor="text1" w:themeTint="50" w:sz="4" w:space="0"/>
      </w:tblBorders>
      <w:tblCellMar>
        <w:left w:w="108" w:type="dxa"/>
        <w:top w:w="0" w:type="dxa"/>
        <w:right w:w="108" w:type="dxa"/>
        <w:bottom w:w="0" w:type="dxa"/>
      </w:tblCellMar>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0">
    <w:name w:val="Plain Table 1"/>
    <w:basedOn w:val="32"/>
    <w:uiPriority w:val="59"/>
    <w:pPr>
      <w:pBdr/>
      <w:spacing w:after="0" w:line="240" w:lineRule="auto"/>
      <w:ind/>
    </w:pPr>
    <w:tblPr>
      <w:tblInd w:w="0" w:type="dxa"/>
      <w:tblBorders>
        <w:top w:val="single" w:color="000000" w:themeColor="text1" w:themeTint="50" w:sz="4" w:space="0"/>
        <w:left w:val="single" w:color="000000" w:themeColor="text1" w:themeTint="50" w:sz="4" w:space="0"/>
        <w:bottom w:val="single" w:color="000000" w:themeColor="text1" w:themeTint="50" w:sz="4" w:space="0"/>
        <w:right w:val="single" w:color="000000" w:themeColor="text1" w:themeTint="50" w:sz="4" w:space="0"/>
        <w:insideH w:val="single" w:color="000000" w:themeColor="text1" w:themeTint="50" w:sz="4" w:space="0"/>
        <w:insideV w:val="single" w:color="000000" w:themeColor="text1" w:themeTint="50" w:sz="4" w:space="0"/>
      </w:tblBorders>
      <w:tblCellMar>
        <w:left w:w="108" w:type="dxa"/>
        <w:top w:w="0" w:type="dxa"/>
        <w:right w:w="108" w:type="dxa"/>
        <w:bottom w:w="0" w:type="dxa"/>
      </w:tblCellMar>
    </w:tblPr>
    <w:tcPr>
      <w:tcBorders/>
    </w:tcPr>
    <w:tblStylePr w:type="band1Horz">
      <w:pPr>
        <w:pBdr/>
        <w:spacing/>
        <w:ind/>
      </w:pPr>
      <w:tblPr>
        <w:tblBorders/>
      </w:tblPr>
      <w:tcPr>
        <w:shd w:val="clear" w:color="ffffff" w:themeColor="text1" w:themeTint="0D" w:fill="f2f2f2" w:themeFill="text1" w:themeFillTint="0D"/>
        <w:tcBorders/>
      </w:tcPr>
    </w:tblStylePr>
    <w:tblStylePr w:type="band1Vert">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1">
    <w:name w:val="Plain Table 2"/>
    <w:basedOn w:val="32"/>
    <w:uiPriority w:val="59"/>
    <w:pPr>
      <w:pBdr/>
      <w:spacing w:after="0" w:line="240" w:lineRule="auto"/>
      <w:ind/>
    </w:pPr>
    <w:tblPr>
      <w:tblInd w:w="0" w:type="dxa"/>
      <w:tblBorders>
        <w:top w:val="single" w:color="000000" w:themeColor="text1" w:sz="4" w:space="0"/>
        <w:left w:val="none" w:color="000000" w:themeColor="text1" w:sz="4" w:space="0"/>
        <w:bottom w:val="single" w:color="000000" w:themeColor="text1" w:sz="4" w:space="0"/>
        <w:right w:val="none" w:color="000000" w:themeColor="text1" w:sz="4" w:space="0"/>
      </w:tblBorders>
      <w:tblCellMar>
        <w:left w:w="108" w:type="dxa"/>
        <w:top w:w="0" w:type="dxa"/>
        <w:right w:w="108" w:type="dxa"/>
        <w:bottom w:w="0" w:type="dxa"/>
      </w:tblCellMar>
    </w:tblPr>
    <w:tcPr>
      <w:tcBorders/>
    </w:tcPr>
    <w:tblStylePr w:type="band1Horz">
      <w:pPr>
        <w:pBdr/>
        <w:spacing/>
        <w:ind/>
      </w:pPr>
      <w:tblPr>
        <w:tblBorders/>
      </w:tblPr>
      <w:tcPr>
        <w:tcBorders>
          <w:top w:val="single" w:color="000000" w:themeColor="text1" w:sz="4" w:space="0"/>
          <w:bottom w:val="single" w:color="000000" w:themeColor="text1" w:sz="4" w:space="0"/>
        </w:tcBorders>
      </w:tcPr>
    </w:tblStylePr>
    <w:tblStylePr w:type="band1Vert">
      <w:pPr>
        <w:pBdr/>
        <w:spacing/>
        <w:ind/>
      </w:pPr>
      <w:tblPr>
        <w:tblBorders/>
      </w:tblPr>
      <w:tcPr>
        <w:tcBorders>
          <w:left w:val="single" w:color="000000" w:themeColor="text1" w:sz="4" w:space="0"/>
          <w:right w:val="single" w:color="000000" w:themeColor="text1" w:sz="4" w:space="0"/>
        </w:tcBorders>
      </w:tcPr>
    </w:tblStylePr>
    <w:tblStylePr w:type="band2Horz">
      <w:pPr>
        <w:pBdr/>
        <w:spacing/>
        <w:ind/>
      </w:pPr>
      <w:tblPr>
        <w:tblBorders/>
      </w:tblPr>
      <w:tcPr>
        <w:tcBorders/>
      </w:tcPr>
    </w:tblStylePr>
    <w:tblStylePr w:type="band2Vert">
      <w:pPr>
        <w:pBdr/>
        <w:spacing/>
        <w:ind/>
      </w:pPr>
      <w:tblPr>
        <w:tblBorders/>
      </w:tblPr>
      <w:tcPr>
        <w:tcBorders>
          <w:left w:val="single" w:color="000000" w:themeColor="text1" w:sz="4" w:space="0"/>
          <w:right w:val="single" w:color="000000" w:themeColor="text1" w:sz="4" w:space="0"/>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text1" w:sz="4" w:space="0"/>
          <w:bottom w:val="single" w:color="000000" w:themeColor="text1"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2">
    <w:name w:val="Plain Table 3"/>
    <w:basedOn w:val="32"/>
    <w:uiPriority w:val="99"/>
    <w:pPr>
      <w:pBdr/>
      <w:spacing w:after="0" w:line="240" w:lineRule="auto"/>
      <w:ind/>
    </w:p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aps/>
        <w:color w:val="404040"/>
      </w:rPr>
      <w:pPr>
        <w:pBdr/>
        <w:spacing/>
        <w:ind/>
      </w:pPr>
      <w:tblPr>
        <w:tblBorders/>
      </w:tblPr>
      <w:tcPr>
        <w:tcBorders>
          <w:top w:val="none" w:color="000000" w:sz="4" w:space="0"/>
          <w:left w:val="none" w:color="000000" w:sz="4" w:space="0"/>
          <w:bottom w:val="none" w:color="000000" w:sz="4" w:space="0"/>
          <w:right w:val="single" w:color="404040" w:sz="4" w:space="0"/>
        </w:tcBorders>
      </w:tcPr>
    </w:tblStylePr>
    <w:tblStylePr w:type="firstRow">
      <w:rPr>
        <w:b/>
        <w:caps/>
        <w:color w:val="404040"/>
      </w:rPr>
      <w:pPr>
        <w:pBdr/>
        <w:spacing/>
        <w:ind/>
      </w:pPr>
      <w:tblPr>
        <w:tblBorders/>
      </w:tblPr>
      <w:tcPr>
        <w:tcBorders>
          <w:top w:val="none" w:color="000000" w:sz="4" w:space="0"/>
          <w:left w:val="none" w:color="000000" w:sz="4" w:space="0"/>
          <w:bottom w:val="single" w:color="404040" w:sz="4" w:space="0"/>
          <w:right w:val="none" w:color="000000" w:sz="4" w:space="0"/>
        </w:tcBorders>
      </w:tcPr>
    </w:tblStylePr>
    <w:tblStylePr w:type="lastCol">
      <w:rPr>
        <w:b/>
        <w:caps/>
        <w:color w:val="404040"/>
      </w:rPr>
      <w:pPr>
        <w:pBdr/>
        <w:spacing/>
        <w:ind/>
      </w:pPr>
      <w:tblPr>
        <w:tblBorders/>
      </w:tblPr>
      <w:tcPr>
        <w:tcBorders/>
      </w:tcPr>
    </w:tblStylePr>
    <w:tblStylePr w:type="lastRow">
      <w:rPr>
        <w:b/>
        <w:caps/>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3">
    <w:name w:val="Plain Table 4"/>
    <w:basedOn w:val="32"/>
    <w:uiPriority w:val="99"/>
    <w:pPr>
      <w:pBdr/>
      <w:spacing w:after="0" w:line="240" w:lineRule="auto"/>
      <w:ind/>
    </w:p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4">
    <w:name w:val="Plain Table 5"/>
    <w:basedOn w:val="32"/>
    <w:uiPriority w:val="99"/>
    <w:pPr>
      <w:pBdr/>
      <w:spacing w:after="0" w:line="240" w:lineRule="auto"/>
      <w:ind/>
    </w:p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right w:val="single" w:color="404040" w:sz="4" w:space="0"/>
        </w:tcBorders>
      </w:tcPr>
    </w:tblStylePr>
    <w:tblStylePr w:type="firstRow">
      <w:rPr>
        <w:i/>
        <w:color w:val="404040"/>
      </w:rPr>
      <w:pPr>
        <w:pBdr/>
        <w:spacing/>
        <w:ind/>
      </w:pPr>
      <w:tblPr>
        <w:tblBorders/>
      </w:tblPr>
      <w:tcPr>
        <w:shd w:val="clear" w:color="ffffff"/>
        <w:tcBorders>
          <w:left w:val="none" w:color="000000" w:sz="4" w:space="0"/>
          <w:bottom w:val="single" w:color="404040" w:sz="4" w:space="0"/>
          <w:right w:val="none" w:color="000000" w:sz="4" w:space="0"/>
        </w:tcBorders>
      </w:tcPr>
    </w:tblStylePr>
    <w:tblStylePr w:type="lastCol">
      <w:rPr>
        <w:i/>
        <w:color w:val="404040"/>
      </w:rPr>
      <w:pPr>
        <w:pBdr/>
        <w:spacing/>
        <w:ind/>
      </w:pPr>
      <w:tblPr>
        <w:tblBorders/>
      </w:tblPr>
      <w:tcPr>
        <w:shd w:val="clear" w:color="ffffff"/>
        <w:tcBorders>
          <w:left w:val="single" w:color="404040" w:sz="4" w:space="0"/>
        </w:tcBorders>
      </w:tcPr>
    </w:tblStylePr>
    <w:tblStylePr w:type="lastRow">
      <w:rPr>
        <w:i/>
        <w:color w:val="404040"/>
      </w:rPr>
      <w:pPr>
        <w:pBdr/>
        <w:spacing/>
        <w:ind/>
      </w:pPr>
      <w:tblPr>
        <w:tblBorders/>
      </w:tblPr>
      <w:tcPr>
        <w:shd w:val="clear" w:color="ffffff"/>
        <w:tcBorders>
          <w:top w:val="single" w:color="404040" w:sz="4" w:space="0"/>
          <w:left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5">
    <w:name w:val="Grid Table 1 Light"/>
    <w:basedOn w:val="32"/>
    <w:uiPriority w:val="99"/>
    <w:pPr>
      <w:pBdr/>
      <w:spacing w:after="0" w:line="240" w:lineRule="auto"/>
      <w:ind/>
    </w:pPr>
    <w:tblPr>
      <w:tblStyleRowBandSize w:val="1"/>
      <w:tblStyleColBandSize w:val="1"/>
      <w:tblInd w:w="0" w:type="dxa"/>
      <w:tblBorders>
        <w:top w:val="single" w:color="000000" w:themeColor="text1" w:themeTint="67" w:sz="4" w:space="0"/>
        <w:left w:val="single" w:color="000000" w:themeColor="text1" w:themeTint="67" w:sz="4" w:space="0"/>
        <w:bottom w:val="single" w:color="000000" w:themeColor="text1" w:themeTint="67" w:sz="4" w:space="0"/>
        <w:right w:val="single" w:color="000000" w:themeColor="text1" w:themeTint="67" w:sz="4" w:space="0"/>
        <w:insideH w:val="single" w:color="000000" w:themeColor="text1" w:themeTint="67" w:sz="4" w:space="0"/>
        <w:insideV w:val="single" w:color="000000" w:themeColor="text1"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text1" w:themeTint="67" w:sz="4" w:space="0"/>
          <w:left w:val="single" w:color="000000" w:themeColor="text1" w:themeTint="67" w:sz="4" w:space="0"/>
          <w:bottom w:val="single" w:color="000000" w:themeColor="text1" w:themeTint="67" w:sz="4" w:space="0"/>
          <w:right w:val="single" w:color="000000" w:themeColor="tex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text1"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6">
    <w:name w:val="Grid Table 1 Light - Accent 1"/>
    <w:basedOn w:val="32"/>
    <w:uiPriority w:val="99"/>
    <w:pPr>
      <w:pBdr/>
      <w:spacing w:after="0" w:line="240" w:lineRule="auto"/>
      <w:ind/>
    </w:pPr>
    <w:tblPr>
      <w:tblStyleRowBandSize w:val="1"/>
      <w:tblStyleColBandSize w:val="1"/>
      <w:tblInd w:w="0" w:type="dxa"/>
      <w:tbl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insideH w:val="single" w:color="000000" w:themeColor="accent1" w:themeTint="67" w:sz="4" w:space="0"/>
        <w:insideV w:val="single" w:color="000000" w:themeColor="accent1"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1"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7">
    <w:name w:val="Grid Table 1 Light - Accent 2"/>
    <w:basedOn w:val="32"/>
    <w:uiPriority w:val="99"/>
    <w:pPr>
      <w:pBdr/>
      <w:spacing w:after="0" w:line="240" w:lineRule="auto"/>
      <w:ind/>
    </w:pPr>
    <w:tblPr>
      <w:tblStyleRowBandSize w:val="1"/>
      <w:tblStyleColBandSize w:val="1"/>
      <w:tblInd w:w="0" w:type="dxa"/>
      <w:tbl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insideH w:val="single" w:color="000000" w:themeColor="accent2" w:themeTint="67" w:sz="4" w:space="0"/>
        <w:insideV w:val="single" w:color="000000" w:themeColor="accent2"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2"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8">
    <w:name w:val="Grid Table 1 Light - Accent 3"/>
    <w:basedOn w:val="32"/>
    <w:uiPriority w:val="99"/>
    <w:pPr>
      <w:pBdr/>
      <w:spacing w:after="0" w:line="240" w:lineRule="auto"/>
      <w:ind/>
    </w:pPr>
    <w:tblPr>
      <w:tblStyleRowBandSize w:val="1"/>
      <w:tblStyleColBandSize w:val="1"/>
      <w:tblInd w:w="0" w:type="dxa"/>
      <w:tbl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insideH w:val="single" w:color="000000" w:themeColor="accent3" w:themeTint="67" w:sz="4" w:space="0"/>
        <w:insideV w:val="single" w:color="000000" w:themeColor="accent3"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3"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9">
    <w:name w:val="Grid Table 1 Light - Accent 4"/>
    <w:basedOn w:val="32"/>
    <w:uiPriority w:val="99"/>
    <w:pPr>
      <w:pBdr/>
      <w:spacing w:after="0" w:line="240" w:lineRule="auto"/>
      <w:ind/>
    </w:pPr>
    <w:tblPr>
      <w:tblStyleRowBandSize w:val="1"/>
      <w:tblStyleColBandSize w:val="1"/>
      <w:tblInd w:w="0" w:type="dxa"/>
      <w:tbl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insideH w:val="single" w:color="000000" w:themeColor="accent4" w:themeTint="67" w:sz="4" w:space="0"/>
        <w:insideV w:val="single" w:color="000000" w:themeColor="accent4"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4"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0">
    <w:name w:val="Grid Table 1 Light - Accent 5"/>
    <w:basedOn w:val="32"/>
    <w:uiPriority w:val="99"/>
    <w:pPr>
      <w:pBdr/>
      <w:spacing w:after="0" w:line="240" w:lineRule="auto"/>
      <w:ind/>
    </w:pPr>
    <w:tblPr>
      <w:tblStyleRowBandSize w:val="1"/>
      <w:tblStyleColBandSize w:val="1"/>
      <w:tblInd w:w="0" w:type="dxa"/>
      <w:tbl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insideH w:val="single" w:color="000000" w:themeColor="accent5" w:themeTint="67" w:sz="4" w:space="0"/>
        <w:insideV w:val="single" w:color="000000" w:themeColor="accent5"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5"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1">
    <w:name w:val="Grid Table 1 Light - Accent 6"/>
    <w:basedOn w:val="32"/>
    <w:uiPriority w:val="99"/>
    <w:pPr>
      <w:pBdr/>
      <w:spacing w:after="0" w:line="240" w:lineRule="auto"/>
      <w:ind/>
    </w:pPr>
    <w:tblPr>
      <w:tblStyleRowBandSize w:val="1"/>
      <w:tblStyleColBandSize w:val="1"/>
      <w:tblInd w:w="0" w:type="dxa"/>
      <w:tbl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insideH w:val="single" w:color="000000" w:themeColor="accent6" w:themeTint="67" w:sz="4" w:space="0"/>
        <w:insideV w:val="single" w:color="000000" w:themeColor="accent6"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6"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2">
    <w:name w:val="Grid Table 2"/>
    <w:basedOn w:val="32"/>
    <w:uiPriority w:val="99"/>
    <w:pPr>
      <w:pBdr/>
      <w:spacing w:after="0" w:line="240" w:lineRule="auto"/>
      <w:ind/>
    </w:pPr>
    <w:tblPr>
      <w:tblStyleRowBandSize w:val="1"/>
      <w:tblStyleColBandSize w:val="1"/>
      <w:tblInd w:w="0" w:type="dxa"/>
      <w:tblBorders>
        <w:bottom w:val="single" w:color="000000" w:themeColor="text1" w:themeTint="95" w:sz="4" w:space="0"/>
        <w:insideH w:val="single" w:color="000000" w:themeColor="text1" w:themeTint="95" w:sz="4" w:space="0"/>
        <w:insideV w:val="single" w:color="000000" w:themeColor="text1" w:themeTint="95" w:sz="4" w:space="0"/>
      </w:tblBorders>
    </w:tblPr>
    <w:tcPr>
      <w:tcBorders/>
    </w:tcPr>
    <w:tblStylePr w:type="band1Horz">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text1" w:themeTint="95"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text1" w:themeTint="9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3">
    <w:name w:val="Grid Table 2 - Accent 1"/>
    <w:basedOn w:val="32"/>
    <w:uiPriority w:val="99"/>
    <w:pPr>
      <w:pBdr/>
      <w:spacing w:after="0" w:line="240" w:lineRule="auto"/>
      <w:ind/>
    </w:pPr>
    <w:tblPr>
      <w:tblStyleRowBandSize w:val="1"/>
      <w:tblStyleColBandSize w:val="1"/>
      <w:tblInd w:w="0" w:type="dxa"/>
      <w:tblBorders>
        <w:bottom w:val="single" w:color="000000" w:themeColor="accent1" w:themeTint="EA" w:sz="4" w:space="0"/>
        <w:insideH w:val="single" w:color="000000" w:themeColor="accent1" w:themeTint="EA" w:sz="4" w:space="0"/>
        <w:insideV w:val="single" w:color="000000" w:themeColor="accent1" w:themeTint="EA" w:sz="4" w:space="0"/>
      </w:tblBorders>
    </w:tblPr>
    <w:tcPr>
      <w:tcBorders/>
    </w:tcPr>
    <w:tblStylePr w:type="band1Horz">
      <w:rPr>
        <w:rFonts w:ascii="Arial" w:hAnsi="Arial"/>
        <w:color w:val="404040"/>
        <w:sz w:val="22"/>
      </w:rPr>
      <w:pPr>
        <w:pBdr/>
        <w:spacing/>
        <w:ind/>
      </w:pPr>
      <w:tblPr>
        <w:tblBorders/>
      </w:tblPr>
      <w:tcPr>
        <w:shd w:val="clear" w:color="ffffff" w:themeColor="accent1" w:themeTint="34" w:fill="dae5f1" w:themeFill="accent1" w:themeFillTint="34"/>
        <w:tcBorders/>
      </w:tcPr>
    </w:tblStylePr>
    <w:tblStylePr w:type="band1Vert">
      <w:rPr>
        <w:rFonts w:ascii="Arial" w:hAnsi="Arial"/>
        <w:color w:val="404040"/>
        <w:sz w:val="22"/>
      </w:rPr>
      <w:pPr>
        <w:pBdr/>
        <w:spacing/>
        <w:ind/>
      </w:pPr>
      <w:tblPr>
        <w:tblBorders/>
      </w:tblPr>
      <w:tcPr>
        <w:shd w:val="clear" w:color="ffffff" w:themeColor="accent1" w:themeTint="34" w:fill="dae5f1" w:themeFill="accen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1" w:themeTint="EA"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1" w:themeTint="E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4">
    <w:name w:val="Grid Table 2 - Accent 2"/>
    <w:basedOn w:val="32"/>
    <w:uiPriority w:val="99"/>
    <w:pPr>
      <w:pBdr/>
      <w:spacing w:after="0" w:line="240" w:lineRule="auto"/>
      <w:ind/>
    </w:pPr>
    <w:tblPr>
      <w:tblStyleRowBandSize w:val="1"/>
      <w:tblStyleColBandSize w:val="1"/>
      <w:tblInd w:w="0" w:type="dxa"/>
      <w:tblBorders>
        <w:bottom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f2dcdb"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f2dcdb"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2" w:themeTint="97"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2" w:themeTint="97"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5">
    <w:name w:val="Grid Table 2 - Accent 3"/>
    <w:basedOn w:val="32"/>
    <w:uiPriority w:val="99"/>
    <w:pPr>
      <w:pBdr/>
      <w:spacing w:after="0" w:line="240" w:lineRule="auto"/>
      <w:ind/>
    </w:pPr>
    <w:tblPr>
      <w:tblStyleRowBandSize w:val="1"/>
      <w:tblStyleColBandSize w:val="1"/>
      <w:tblInd w:w="0" w:type="dxa"/>
      <w:tblBorders>
        <w:bottom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eaf0dd"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eaf0dd"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3" w:themeTint="FE"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3" w:themeTint="FE"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6">
    <w:name w:val="Grid Table 2 - Accent 4"/>
    <w:basedOn w:val="32"/>
    <w:uiPriority w:val="99"/>
    <w:pPr>
      <w:pBdr/>
      <w:spacing w:after="0" w:line="240" w:lineRule="auto"/>
      <w:ind/>
    </w:pPr>
    <w:tblPr>
      <w:tblStyleRowBandSize w:val="1"/>
      <w:tblStyleColBandSize w:val="1"/>
      <w:tblInd w:w="0" w:type="dxa"/>
      <w:tblBorders>
        <w:bottom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4" w:themeTint="9A"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4" w:themeTint="9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7">
    <w:name w:val="Grid Table 2 - Accent 5"/>
    <w:basedOn w:val="32"/>
    <w:uiPriority w:val="99"/>
    <w:pPr>
      <w:pBdr/>
      <w:spacing w:after="0" w:line="240" w:lineRule="auto"/>
      <w:ind/>
    </w:pPr>
    <w:tblPr>
      <w:tblStyleRowBandSize w:val="1"/>
      <w:tblStyleColBandSize w:val="1"/>
      <w:tblInd w:w="0" w:type="dxa"/>
      <w:tblBorders>
        <w:bottom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5"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8">
    <w:name w:val="Grid Table 2 - Accent 6"/>
    <w:basedOn w:val="32"/>
    <w:uiPriority w:val="99"/>
    <w:pPr>
      <w:pBdr/>
      <w:spacing w:after="0" w:line="240" w:lineRule="auto"/>
      <w:ind/>
    </w:pPr>
    <w:tblPr>
      <w:tblStyleRowBandSize w:val="1"/>
      <w:tblStyleColBandSize w:val="1"/>
      <w:tblInd w:w="0" w:type="dxa"/>
      <w:tblBorders>
        <w:bottom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fde9d8"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fde9d8"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6"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6"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9">
    <w:name w:val="Grid Table 3"/>
    <w:basedOn w:val="32"/>
    <w:uiPriority w:val="99"/>
    <w:pPr>
      <w:pBdr/>
      <w:spacing w:after="0" w:line="240" w:lineRule="auto"/>
      <w:ind/>
    </w:pPr>
    <w:tblPr>
      <w:tblStyleRowBandSize w:val="1"/>
      <w:tblStyleColBandSize w:val="1"/>
      <w:tblInd w:w="0" w:type="dxa"/>
      <w:tblBorders>
        <w:bottom w:val="single" w:color="000000" w:themeColor="text1" w:themeTint="95" w:sz="4" w:space="0"/>
        <w:insideH w:val="single" w:color="000000" w:themeColor="text1" w:themeTint="95" w:sz="4" w:space="0"/>
        <w:insideV w:val="single" w:color="000000" w:themeColor="text1" w:themeTint="95" w:sz="4" w:space="0"/>
      </w:tblBorders>
    </w:tblPr>
    <w:tcPr>
      <w:tcBorders/>
    </w:tcPr>
    <w:tblStylePr w:type="band1Horz">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0">
    <w:name w:val="Grid Table 3 - Accent 1"/>
    <w:basedOn w:val="32"/>
    <w:uiPriority w:val="99"/>
    <w:pPr>
      <w:pBdr/>
      <w:spacing w:after="0" w:line="240" w:lineRule="auto"/>
      <w:ind/>
    </w:pPr>
    <w:tblPr>
      <w:tblStyleRowBandSize w:val="1"/>
      <w:tblStyleColBandSize w:val="1"/>
      <w:tblInd w:w="0" w:type="dxa"/>
      <w:tblBorders>
        <w:bottom w:val="single" w:color="000000" w:themeColor="accent1" w:themeTint="EA" w:sz="4" w:space="0"/>
        <w:insideH w:val="single" w:color="000000" w:themeColor="accent1" w:themeTint="EA" w:sz="4" w:space="0"/>
        <w:insideV w:val="single" w:color="000000" w:themeColor="accent1" w:themeTint="EA" w:sz="4" w:space="0"/>
      </w:tblBorders>
    </w:tblPr>
    <w:tcPr>
      <w:tcBorders/>
    </w:tcPr>
    <w:tblStylePr w:type="band1Horz">
      <w:rPr>
        <w:rFonts w:ascii="Arial" w:hAnsi="Arial"/>
        <w:color w:val="404040"/>
        <w:sz w:val="22"/>
      </w:rPr>
      <w:pPr>
        <w:pBdr/>
        <w:spacing/>
        <w:ind/>
      </w:pPr>
      <w:tblPr>
        <w:tblBorders/>
      </w:tblPr>
      <w:tcPr>
        <w:shd w:val="clear" w:color="ffffff" w:themeColor="accent1" w:themeTint="34" w:fill="dae5f1" w:themeFill="accent1" w:themeFillTint="34"/>
        <w:tcBorders/>
      </w:tcPr>
    </w:tblStylePr>
    <w:tblStylePr w:type="band1Vert">
      <w:rPr>
        <w:rFonts w:ascii="Arial" w:hAnsi="Arial"/>
        <w:color w:val="404040"/>
        <w:sz w:val="22"/>
      </w:rPr>
      <w:pPr>
        <w:pBdr/>
        <w:spacing/>
        <w:ind/>
      </w:pPr>
      <w:tblPr>
        <w:tblBorders/>
      </w:tblPr>
      <w:tcPr>
        <w:shd w:val="clear" w:color="ffffff" w:themeColor="accent1" w:themeTint="34" w:fill="dae5f1" w:themeFill="accen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1">
    <w:name w:val="Grid Table 3 - Accent 2"/>
    <w:basedOn w:val="32"/>
    <w:uiPriority w:val="99"/>
    <w:pPr>
      <w:pBdr/>
      <w:spacing w:after="0" w:line="240" w:lineRule="auto"/>
      <w:ind/>
    </w:pPr>
    <w:tblPr>
      <w:tblStyleRowBandSize w:val="1"/>
      <w:tblStyleColBandSize w:val="1"/>
      <w:tblInd w:w="0" w:type="dxa"/>
      <w:tblBorders>
        <w:bottom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f2dcdb"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f2dcdb"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2">
    <w:name w:val="Grid Table 3 - Accent 3"/>
    <w:basedOn w:val="32"/>
    <w:uiPriority w:val="99"/>
    <w:pPr>
      <w:pBdr/>
      <w:spacing w:after="0" w:line="240" w:lineRule="auto"/>
      <w:ind/>
    </w:pPr>
    <w:tblPr>
      <w:tblStyleRowBandSize w:val="1"/>
      <w:tblStyleColBandSize w:val="1"/>
      <w:tblInd w:w="0" w:type="dxa"/>
      <w:tblBorders>
        <w:bottom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eaf0dd"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eaf0dd"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3">
    <w:name w:val="Grid Table 3 - Accent 4"/>
    <w:basedOn w:val="32"/>
    <w:uiPriority w:val="99"/>
    <w:pPr>
      <w:pBdr/>
      <w:spacing w:after="0" w:line="240" w:lineRule="auto"/>
      <w:ind/>
    </w:pPr>
    <w:tblPr>
      <w:tblStyleRowBandSize w:val="1"/>
      <w:tblStyleColBandSize w:val="1"/>
      <w:tblInd w:w="0" w:type="dxa"/>
      <w:tblBorders>
        <w:bottom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4">
    <w:name w:val="Grid Table 3 - Accent 5"/>
    <w:basedOn w:val="32"/>
    <w:uiPriority w:val="99"/>
    <w:pPr>
      <w:pBdr/>
      <w:spacing w:after="0" w:line="240" w:lineRule="auto"/>
      <w:ind/>
    </w:pPr>
    <w:tblPr>
      <w:tblStyleRowBandSize w:val="1"/>
      <w:tblStyleColBandSize w:val="1"/>
      <w:tblInd w:w="0" w:type="dxa"/>
      <w:tblBorders>
        <w:bottom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5">
    <w:name w:val="Grid Table 3 - Accent 6"/>
    <w:basedOn w:val="32"/>
    <w:uiPriority w:val="99"/>
    <w:pPr>
      <w:pBdr/>
      <w:spacing w:after="0" w:line="240" w:lineRule="auto"/>
      <w:ind/>
    </w:pPr>
    <w:tblPr>
      <w:tblStyleRowBandSize w:val="1"/>
      <w:tblStyleColBandSize w:val="1"/>
      <w:tblInd w:w="0" w:type="dxa"/>
      <w:tblBorders>
        <w:bottom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fde9d8"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fde9d8"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6">
    <w:name w:val="Grid Table 4"/>
    <w:basedOn w:val="32"/>
    <w:uiPriority w:val="59"/>
    <w:pPr>
      <w:pBdr/>
      <w:spacing w:after="0" w:line="240" w:lineRule="auto"/>
      <w:ind/>
    </w:pPr>
    <w:tblPr>
      <w:tblStyleRowBandSize w:val="1"/>
      <w:tblStyleColBandSize w:val="1"/>
      <w:tblInd w:w="0" w:type="dxa"/>
      <w:tblBorders>
        <w:top w:val="single" w:color="000000" w:themeColor="text1" w:themeTint="90" w:sz="4" w:space="0"/>
        <w:left w:val="single" w:color="000000" w:themeColor="text1" w:themeTint="90" w:sz="4" w:space="0"/>
        <w:bottom w:val="single" w:color="000000" w:themeColor="text1" w:themeTint="90" w:sz="4" w:space="0"/>
        <w:right w:val="single" w:color="000000" w:themeColor="text1" w:themeTint="90" w:sz="4" w:space="0"/>
        <w:insideH w:val="single" w:color="000000" w:themeColor="text1" w:themeTint="90" w:sz="4" w:space="0"/>
        <w:insideV w:val="single" w:color="000000" w:themeColor="text1" w:themeTint="90" w:sz="4" w:space="0"/>
      </w:tblBorders>
    </w:tblPr>
    <w:tcPr>
      <w:tcBorders/>
    </w:tcPr>
    <w:tblStylePr w:type="band1Horz">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text1" w:fill="000000" w:themeFill="text1"/>
        <w:tcBorders>
          <w:top w:val="single" w:color="000000" w:themeColor="text1" w:sz="4" w:space="0"/>
          <w:left w:val="single" w:color="000000" w:themeColor="text1" w:sz="4" w:space="0"/>
          <w:bottom w:val="single" w:color="000000" w:themeColor="text1" w:sz="4" w:space="0"/>
          <w:right w:val="single" w:color="000000" w:themeColor="text1"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tex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7">
    <w:name w:val="Grid Table 4 - Accent 1"/>
    <w:basedOn w:val="32"/>
    <w:uiPriority w:val="59"/>
    <w:pPr>
      <w:pBdr/>
      <w:spacing w:after="0" w:line="240" w:lineRule="auto"/>
      <w:ind/>
    </w:pPr>
    <w:tblPr>
      <w:tblStyleRowBandSize w:val="1"/>
      <w:tblStyleColBandSize w:val="1"/>
      <w:tblInd w:w="0" w:type="dxa"/>
      <w:tblBorders>
        <w:top w:val="single" w:color="000000" w:themeColor="accent1" w:themeTint="90" w:sz="4" w:space="0"/>
        <w:left w:val="single" w:color="000000" w:themeColor="accent1" w:themeTint="90" w:sz="4" w:space="0"/>
        <w:bottom w:val="single" w:color="000000" w:themeColor="accent1" w:themeTint="90" w:sz="4" w:space="0"/>
        <w:right w:val="single" w:color="000000" w:themeColor="accent1" w:themeTint="90" w:sz="4" w:space="0"/>
        <w:insideH w:val="single" w:color="000000" w:themeColor="accent1" w:themeTint="90" w:sz="4" w:space="0"/>
        <w:insideV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32" w:fill="dce6f1" w:themeFill="accent1" w:themeFillTint="32"/>
        <w:tcBorders/>
      </w:tcPr>
    </w:tblStylePr>
    <w:tblStylePr w:type="band1Vert">
      <w:rPr>
        <w:rFonts w:ascii="Arial" w:hAnsi="Arial"/>
        <w:color w:val="404040"/>
        <w:sz w:val="22"/>
      </w:rPr>
      <w:pPr>
        <w:pBdr/>
        <w:spacing/>
        <w:ind/>
      </w:pPr>
      <w:tblPr>
        <w:tblBorders/>
      </w:tblPr>
      <w:tcPr>
        <w:shd w:val="clear" w:color="ffffff" w:themeColor="accent1" w:themeTint="32" w:fill="dce6f1" w:themeFill="accent1"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themeTint="EA" w:fill="5d8dc2" w:themeFill="accent1" w:themeFillTint="EA"/>
        <w:tcBorders>
          <w:top w:val="single" w:color="000000" w:themeColor="accent1" w:themeTint="EA" w:sz="4" w:space="0"/>
          <w:left w:val="single" w:color="000000" w:themeColor="accent1" w:themeTint="EA" w:sz="4" w:space="0"/>
          <w:bottom w:val="single" w:color="000000" w:themeColor="accent1" w:themeTint="EA" w:sz="4" w:space="0"/>
          <w:right w:val="single" w:color="000000" w:themeColor="accent1" w:themeTint="EA"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1" w:themeTint="E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8">
    <w:name w:val="Grid Table 4 - Accent 2"/>
    <w:basedOn w:val="32"/>
    <w:uiPriority w:val="59"/>
    <w:pPr>
      <w:pBdr/>
      <w:spacing w:after="0" w:line="240" w:lineRule="auto"/>
      <w:ind/>
    </w:pPr>
    <w:tblPr>
      <w:tblStyleRowBandSize w:val="1"/>
      <w:tblStyleColBandSize w:val="1"/>
      <w:tblInd w:w="0" w:type="dxa"/>
      <w:tblBorders>
        <w:top w:val="single" w:color="000000" w:themeColor="accent2" w:themeTint="90" w:sz="4" w:space="0"/>
        <w:left w:val="single" w:color="000000" w:themeColor="accent2" w:themeTint="90" w:sz="4" w:space="0"/>
        <w:bottom w:val="single" w:color="000000" w:themeColor="accent2" w:themeTint="90" w:sz="4" w:space="0"/>
        <w:right w:val="single" w:color="000000" w:themeColor="accent2" w:themeTint="90" w:sz="4" w:space="0"/>
        <w:insideH w:val="single" w:color="000000" w:themeColor="accent2" w:themeTint="90" w:sz="4" w:space="0"/>
        <w:insideV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f2dcdb"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f2dcdb"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themeTint="97" w:fill="d99694" w:themeFill="accent2" w:themeFillTint="97"/>
        <w:tc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2" w:themeTint="97"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9">
    <w:name w:val="Grid Table 4 - Accent 3"/>
    <w:basedOn w:val="32"/>
    <w:uiPriority w:val="59"/>
    <w:pPr>
      <w:pBdr/>
      <w:spacing w:after="0" w:line="240" w:lineRule="auto"/>
      <w:ind/>
    </w:pPr>
    <w:tblPr>
      <w:tblStyleRowBandSize w:val="1"/>
      <w:tblStyleColBandSize w:val="1"/>
      <w:tblInd w:w="0" w:type="dxa"/>
      <w:tblBorders>
        <w:top w:val="single" w:color="000000" w:themeColor="accent3" w:themeTint="90" w:sz="4" w:space="0"/>
        <w:left w:val="single" w:color="000000" w:themeColor="accent3" w:themeTint="90" w:sz="4" w:space="0"/>
        <w:bottom w:val="single" w:color="000000" w:themeColor="accent3" w:themeTint="90" w:sz="4" w:space="0"/>
        <w:right w:val="single" w:color="000000" w:themeColor="accent3" w:themeTint="90" w:sz="4" w:space="0"/>
        <w:insideH w:val="single" w:color="000000" w:themeColor="accent3" w:themeTint="90" w:sz="4" w:space="0"/>
        <w:insideV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eaf0dd"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eaf0dd"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themeTint="FE" w:fill="9bba59" w:themeFill="accent3" w:themeFillTint="FE"/>
        <w:tcBorders>
          <w:top w:val="single" w:color="000000" w:themeColor="accent3" w:themeTint="FE" w:sz="4" w:space="0"/>
          <w:left w:val="single" w:color="000000" w:themeColor="accent3" w:themeTint="FE" w:sz="4" w:space="0"/>
          <w:bottom w:val="single" w:color="000000" w:themeColor="accent3" w:themeTint="FE" w:sz="4" w:space="0"/>
          <w:right w:val="single" w:color="000000" w:themeColor="accent3" w:themeTint="FE"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3" w:themeTint="FE"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0">
    <w:name w:val="Grid Table 4 - Accent 4"/>
    <w:basedOn w:val="32"/>
    <w:uiPriority w:val="59"/>
    <w:pPr>
      <w:pBdr/>
      <w:spacing w:after="0" w:line="240" w:lineRule="auto"/>
      <w:ind/>
    </w:pPr>
    <w:tblPr>
      <w:tblStyleRowBandSize w:val="1"/>
      <w:tblStyleColBandSize w:val="1"/>
      <w:tblInd w:w="0" w:type="dxa"/>
      <w:tblBorders>
        <w:top w:val="single" w:color="000000" w:themeColor="accent4" w:themeTint="90" w:sz="4" w:space="0"/>
        <w:left w:val="single" w:color="000000" w:themeColor="accent4" w:themeTint="90" w:sz="4" w:space="0"/>
        <w:bottom w:val="single" w:color="000000" w:themeColor="accent4" w:themeTint="90" w:sz="4" w:space="0"/>
        <w:right w:val="single" w:color="000000" w:themeColor="accent4" w:themeTint="90" w:sz="4" w:space="0"/>
        <w:insideH w:val="single" w:color="000000" w:themeColor="accent4" w:themeTint="90" w:sz="4" w:space="0"/>
        <w:insideV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themeTint="9A" w:fill="b2a1c6" w:themeFill="accent4" w:themeFillTint="9A"/>
        <w:tc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4"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
    <w:name w:val="Grid Table 4 - Accent 5"/>
    <w:basedOn w:val="32"/>
    <w:uiPriority w:val="59"/>
    <w:pPr>
      <w:pBdr/>
      <w:spacing w:after="0" w:line="240" w:lineRule="auto"/>
      <w:ind/>
    </w:pPr>
    <w:tblPr>
      <w:tblStyleRowBandSize w:val="1"/>
      <w:tblStyleColBandSize w:val="1"/>
      <w:tblInd w:w="0" w:type="dxa"/>
      <w:tblBorders>
        <w:top w:val="single" w:color="000000" w:themeColor="accent5" w:themeTint="90" w:sz="4" w:space="0"/>
        <w:left w:val="single" w:color="000000" w:themeColor="accent5" w:themeTint="90" w:sz="4" w:space="0"/>
        <w:bottom w:val="single" w:color="000000" w:themeColor="accent5" w:themeTint="90" w:sz="4" w:space="0"/>
        <w:right w:val="single" w:color="000000" w:themeColor="accent5" w:themeTint="90" w:sz="4" w:space="0"/>
        <w:insideH w:val="single" w:color="000000" w:themeColor="accent5" w:themeTint="90" w:sz="4" w:space="0"/>
        <w:insideV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fill="4bacc6" w:themeFill="accent5"/>
        <w:tcBorders>
          <w:top w:val="single" w:color="000000" w:themeColor="accent5" w:sz="4" w:space="0"/>
          <w:left w:val="single" w:color="000000" w:themeColor="accent5" w:sz="4" w:space="0"/>
          <w:bottom w:val="single" w:color="000000" w:themeColor="accent5" w:sz="4" w:space="0"/>
          <w:right w:val="single" w:color="000000" w:themeColor="accent5"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5"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
    <w:name w:val="Grid Table 4 - Accent 6"/>
    <w:basedOn w:val="32"/>
    <w:uiPriority w:val="59"/>
    <w:pPr>
      <w:pBdr/>
      <w:spacing w:after="0" w:line="240" w:lineRule="auto"/>
      <w:ind/>
    </w:pPr>
    <w:tblPr>
      <w:tblStyleRowBandSize w:val="1"/>
      <w:tblStyleColBandSize w:val="1"/>
      <w:tblInd w:w="0" w:type="dxa"/>
      <w:tblBorders>
        <w:top w:val="single" w:color="000000" w:themeColor="accent6" w:themeTint="90" w:sz="4" w:space="0"/>
        <w:left w:val="single" w:color="000000" w:themeColor="accent6" w:themeTint="90" w:sz="4" w:space="0"/>
        <w:bottom w:val="single" w:color="000000" w:themeColor="accent6" w:themeTint="90" w:sz="4" w:space="0"/>
        <w:right w:val="single" w:color="000000" w:themeColor="accent6" w:themeTint="90" w:sz="4" w:space="0"/>
        <w:insideH w:val="single" w:color="000000" w:themeColor="accent6" w:themeTint="90" w:sz="4" w:space="0"/>
        <w:insideV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fde9d8"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fde9d8"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fill="f79646" w:themeFill="accent6"/>
        <w:tcBorders>
          <w:top w:val="single" w:color="000000" w:themeColor="accent6" w:sz="4" w:space="0"/>
          <w:left w:val="single" w:color="000000" w:themeColor="accent6" w:sz="4" w:space="0"/>
          <w:bottom w:val="single" w:color="000000" w:themeColor="accent6" w:sz="4" w:space="0"/>
          <w:right w:val="single" w:color="000000" w:themeColor="accent6"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6"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
    <w:name w:val="Grid Table 5 Dark"/>
    <w:basedOn w:val="32"/>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text1" w:themeTint="40" w:fill="bfbfbf" w:themeFill="text1" w:themeFillTint="40"/>
    </w:tblPr>
    <w:tcPr>
      <w:tcBorders/>
    </w:tcPr>
    <w:tblStylePr w:type="band1Horz">
      <w:pPr>
        <w:pBdr/>
        <w:spacing/>
        <w:ind/>
      </w:pPr>
      <w:tblPr>
        <w:tblBorders/>
      </w:tblPr>
      <w:tcPr>
        <w:shd w:val="clear" w:color="ffffff" w:themeColor="text1" w:themeTint="75" w:fill="8a8a8a" w:themeFill="text1" w:themeFillTint="75"/>
        <w:tcBorders/>
      </w:tcPr>
    </w:tblStylePr>
    <w:tblStylePr w:type="band1Vert">
      <w:pPr>
        <w:pBdr/>
        <w:spacing/>
        <w:ind/>
      </w:pPr>
      <w:tblPr>
        <w:tblBorders/>
      </w:tblPr>
      <w:tcPr>
        <w:shd w:val="clear" w:color="ffffff" w:themeColor="text1" w:themeTint="75" w:fill="8a8a8a" w:themeFill="text1"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text1" w:fill="000000" w:themeFill="text1"/>
        <w:tcBorders/>
      </w:tcPr>
    </w:tblStylePr>
    <w:tblStylePr w:type="firstRow">
      <w:rPr>
        <w:rFonts w:ascii="Arial" w:hAnsi="Arial"/>
        <w:b/>
        <w:color w:val="ffffff"/>
        <w:sz w:val="22"/>
      </w:rPr>
      <w:pPr>
        <w:pBdr/>
        <w:spacing/>
        <w:ind/>
      </w:pPr>
      <w:tblPr>
        <w:tblBorders/>
      </w:tblPr>
      <w:tcPr>
        <w:shd w:val="clear" w:color="ffffff" w:themeColor="text1" w:fill="000000" w:themeFill="text1"/>
        <w:tcBorders/>
      </w:tcPr>
    </w:tblStylePr>
    <w:tblStylePr w:type="lastCol">
      <w:rPr>
        <w:rFonts w:ascii="Arial" w:hAnsi="Arial"/>
        <w:b/>
        <w:color w:val="ffffff"/>
        <w:sz w:val="22"/>
      </w:rPr>
      <w:pPr>
        <w:pBdr/>
        <w:spacing/>
        <w:ind/>
      </w:pPr>
      <w:tblPr>
        <w:tblBorders/>
      </w:tblPr>
      <w:tcPr>
        <w:shd w:val="clear" w:color="ffffff" w:themeColor="text1" w:fill="000000" w:themeFill="text1"/>
        <w:tcBorders/>
      </w:tcPr>
    </w:tblStylePr>
    <w:tblStylePr w:type="lastRow">
      <w:rPr>
        <w:rFonts w:ascii="Arial" w:hAnsi="Arial"/>
        <w:b/>
        <w:color w:val="ffffff"/>
        <w:sz w:val="22"/>
      </w:rPr>
      <w:pPr>
        <w:pBdr/>
        <w:spacing/>
        <w:ind/>
      </w:pPr>
      <w:tblPr>
        <w:tblBorders/>
      </w:tblPr>
      <w:tcPr>
        <w:shd w:val="clear" w:color="ffffff" w:themeColor="text1" w:fill="000000" w:themeFill="text1"/>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
    <w:name w:val="Grid Table 5 Dark- Accent 1"/>
    <w:basedOn w:val="32"/>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1" w:themeTint="34" w:fill="dae5f1" w:themeFill="accent1" w:themeFillTint="34"/>
    </w:tblPr>
    <w:tcPr>
      <w:tcBorders/>
    </w:tcPr>
    <w:tblStylePr w:type="band1Horz">
      <w:pPr>
        <w:pBdr/>
        <w:spacing/>
        <w:ind/>
      </w:pPr>
      <w:tblPr>
        <w:tblBorders/>
      </w:tblPr>
      <w:tcPr>
        <w:shd w:val="clear" w:color="ffffff" w:themeColor="accent1" w:themeTint="75" w:fill="adc5e0" w:themeFill="accent1" w:themeFillTint="75"/>
        <w:tcBorders/>
      </w:tcPr>
    </w:tblStylePr>
    <w:tblStylePr w:type="band1Vert">
      <w:pPr>
        <w:pBdr/>
        <w:spacing/>
        <w:ind/>
      </w:pPr>
      <w:tblPr>
        <w:tblBorders/>
      </w:tblPr>
      <w:tcPr>
        <w:shd w:val="clear" w:color="ffffff" w:themeColor="accent1" w:themeTint="75" w:fill="adc5e0" w:themeFill="accent1"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1" w:fill="4f81bd" w:themeFill="accent1"/>
        <w:tcBorders/>
      </w:tcPr>
    </w:tblStylePr>
    <w:tblStylePr w:type="firstRow">
      <w:rPr>
        <w:rFonts w:ascii="Arial" w:hAnsi="Arial"/>
        <w:b/>
        <w:color w:val="ffffff"/>
        <w:sz w:val="22"/>
      </w:rPr>
      <w:pPr>
        <w:pBdr/>
        <w:spacing/>
        <w:ind/>
      </w:pPr>
      <w:tblPr>
        <w:tblBorders/>
      </w:tblPr>
      <w:tcPr>
        <w:shd w:val="clear" w:color="ffffff" w:themeColor="accent1" w:fill="4f81bd" w:themeFill="accent1"/>
        <w:tcBorders/>
      </w:tcPr>
    </w:tblStylePr>
    <w:tblStylePr w:type="lastCol">
      <w:rPr>
        <w:rFonts w:ascii="Arial" w:hAnsi="Arial"/>
        <w:b/>
        <w:color w:val="ffffff"/>
        <w:sz w:val="22"/>
      </w:rPr>
      <w:pPr>
        <w:pBdr/>
        <w:spacing/>
        <w:ind/>
      </w:pPr>
      <w:tblPr>
        <w:tblBorders/>
      </w:tblPr>
      <w:tcPr>
        <w:shd w:val="clear" w:color="ffffff" w:themeColor="accent1" w:fill="4f81bd" w:themeFill="accent1"/>
        <w:tcBorders/>
      </w:tcPr>
    </w:tblStylePr>
    <w:tblStylePr w:type="lastRow">
      <w:rPr>
        <w:rFonts w:ascii="Arial" w:hAnsi="Arial"/>
        <w:b/>
        <w:color w:val="ffffff"/>
        <w:sz w:val="22"/>
      </w:rPr>
      <w:pPr>
        <w:pBdr/>
        <w:spacing/>
        <w:ind/>
      </w:pPr>
      <w:tblPr>
        <w:tblBorders/>
      </w:tblPr>
      <w:tcPr>
        <w:shd w:val="clear" w:color="ffffff" w:themeColor="accent1" w:fill="4f81bd" w:themeFill="accent1"/>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5">
    <w:name w:val="Grid Table 5 Dark - Accent 2"/>
    <w:basedOn w:val="32"/>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2" w:themeTint="32" w:fill="f2dcdb" w:themeFill="accent2" w:themeFillTint="32"/>
    </w:tblPr>
    <w:tcPr>
      <w:tcBorders/>
    </w:tcPr>
    <w:tblStylePr w:type="band1Horz">
      <w:pPr>
        <w:pBdr/>
        <w:spacing/>
        <w:ind/>
      </w:pPr>
      <w:tblPr>
        <w:tblBorders/>
      </w:tblPr>
      <w:tcPr>
        <w:shd w:val="clear" w:color="ffffff" w:themeColor="accent2" w:themeTint="75" w:fill="e1adac" w:themeFill="accent2" w:themeFillTint="75"/>
        <w:tcBorders/>
      </w:tcPr>
    </w:tblStylePr>
    <w:tblStylePr w:type="band1Vert">
      <w:pPr>
        <w:pBdr/>
        <w:spacing/>
        <w:ind/>
      </w:pPr>
      <w:tblPr>
        <w:tblBorders/>
      </w:tblPr>
      <w:tcPr>
        <w:shd w:val="clear" w:color="ffffff" w:themeColor="accent2" w:themeTint="75" w:fill="e1adac" w:themeFill="accent2"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2" w:fill="c0504d" w:themeFill="accent2"/>
        <w:tcBorders/>
      </w:tcPr>
    </w:tblStylePr>
    <w:tblStylePr w:type="firstRow">
      <w:rPr>
        <w:rFonts w:ascii="Arial" w:hAnsi="Arial"/>
        <w:b/>
        <w:color w:val="ffffff"/>
        <w:sz w:val="22"/>
      </w:rPr>
      <w:pPr>
        <w:pBdr/>
        <w:spacing/>
        <w:ind/>
      </w:pPr>
      <w:tblPr>
        <w:tblBorders/>
      </w:tblPr>
      <w:tcPr>
        <w:shd w:val="clear" w:color="ffffff" w:themeColor="accent2" w:fill="c0504d" w:themeFill="accent2"/>
        <w:tcBorders/>
      </w:tcPr>
    </w:tblStylePr>
    <w:tblStylePr w:type="lastCol">
      <w:rPr>
        <w:rFonts w:ascii="Arial" w:hAnsi="Arial"/>
        <w:b/>
        <w:color w:val="ffffff"/>
        <w:sz w:val="22"/>
      </w:rPr>
      <w:pPr>
        <w:pBdr/>
        <w:spacing/>
        <w:ind/>
      </w:pPr>
      <w:tblPr>
        <w:tblBorders/>
      </w:tblPr>
      <w:tcPr>
        <w:shd w:val="clear" w:color="ffffff" w:themeColor="accent2" w:fill="c0504d" w:themeFill="accent2"/>
        <w:tcBorders/>
      </w:tcPr>
    </w:tblStylePr>
    <w:tblStylePr w:type="lastRow">
      <w:rPr>
        <w:rFonts w:ascii="Arial" w:hAnsi="Arial"/>
        <w:b/>
        <w:color w:val="ffffff"/>
        <w:sz w:val="22"/>
      </w:rPr>
      <w:pPr>
        <w:pBdr/>
        <w:spacing/>
        <w:ind/>
      </w:pPr>
      <w:tblPr>
        <w:tblBorders/>
      </w:tblPr>
      <w:tcPr>
        <w:shd w:val="clear" w:color="ffffff" w:themeColor="accent2" w:fill="c0504d" w:themeFill="accent2"/>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
    <w:name w:val="Grid Table 5 Dark - Accent 3"/>
    <w:basedOn w:val="32"/>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3" w:themeTint="34" w:fill="eaf0dd" w:themeFill="accent3" w:themeFillTint="34"/>
    </w:tblPr>
    <w:tcPr>
      <w:tcBorders/>
    </w:tcPr>
    <w:tblStylePr w:type="band1Horz">
      <w:pPr>
        <w:pBdr/>
        <w:spacing/>
        <w:ind/>
      </w:pPr>
      <w:tblPr>
        <w:tblBorders/>
      </w:tblPr>
      <w:tcPr>
        <w:shd w:val="clear" w:color="ffffff" w:themeColor="accent3" w:themeTint="75" w:fill="d1dfb2" w:themeFill="accent3" w:themeFillTint="75"/>
        <w:tcBorders/>
      </w:tcPr>
    </w:tblStylePr>
    <w:tblStylePr w:type="band1Vert">
      <w:pPr>
        <w:pBdr/>
        <w:spacing/>
        <w:ind/>
      </w:pPr>
      <w:tblPr>
        <w:tblBorders/>
      </w:tblPr>
      <w:tcPr>
        <w:shd w:val="clear" w:color="ffffff" w:themeColor="accent3" w:themeTint="75" w:fill="d1dfb2" w:themeFill="accent3"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3" w:fill="9bbb59" w:themeFill="accent3"/>
        <w:tcBorders/>
      </w:tcPr>
    </w:tblStylePr>
    <w:tblStylePr w:type="firstRow">
      <w:rPr>
        <w:rFonts w:ascii="Arial" w:hAnsi="Arial"/>
        <w:b/>
        <w:color w:val="ffffff"/>
        <w:sz w:val="22"/>
      </w:rPr>
      <w:pPr>
        <w:pBdr/>
        <w:spacing/>
        <w:ind/>
      </w:pPr>
      <w:tblPr>
        <w:tblBorders/>
      </w:tblPr>
      <w:tcPr>
        <w:shd w:val="clear" w:color="ffffff" w:themeColor="accent3" w:fill="9bbb59" w:themeFill="accent3"/>
        <w:tcBorders/>
      </w:tcPr>
    </w:tblStylePr>
    <w:tblStylePr w:type="lastCol">
      <w:rPr>
        <w:rFonts w:ascii="Arial" w:hAnsi="Arial"/>
        <w:b/>
        <w:color w:val="ffffff"/>
        <w:sz w:val="22"/>
      </w:rPr>
      <w:pPr>
        <w:pBdr/>
        <w:spacing/>
        <w:ind/>
      </w:pPr>
      <w:tblPr>
        <w:tblBorders/>
      </w:tblPr>
      <w:tcPr>
        <w:shd w:val="clear" w:color="ffffff" w:themeColor="accent3" w:fill="9bbb59" w:themeFill="accent3"/>
        <w:tcBorders/>
      </w:tcPr>
    </w:tblStylePr>
    <w:tblStylePr w:type="lastRow">
      <w:rPr>
        <w:rFonts w:ascii="Arial" w:hAnsi="Arial"/>
        <w:b/>
        <w:color w:val="ffffff"/>
        <w:sz w:val="22"/>
      </w:rPr>
      <w:pPr>
        <w:pBdr/>
        <w:spacing/>
        <w:ind/>
      </w:pPr>
      <w:tblPr>
        <w:tblBorders/>
      </w:tblPr>
      <w:tcPr>
        <w:shd w:val="clear" w:color="ffffff" w:themeColor="accent3" w:fill="9bbb59" w:themeFill="accent3"/>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
    <w:name w:val="Grid Table 5 Dark- Accent 4"/>
    <w:basedOn w:val="32"/>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4" w:themeTint="34" w:fill="e5dfec" w:themeFill="accent4" w:themeFillTint="34"/>
    </w:tblPr>
    <w:tcPr>
      <w:tcBorders/>
    </w:tcPr>
    <w:tblStylePr w:type="band1Horz">
      <w:pPr>
        <w:pBdr/>
        <w:spacing/>
        <w:ind/>
      </w:pPr>
      <w:tblPr>
        <w:tblBorders/>
      </w:tblPr>
      <w:tcPr>
        <w:shd w:val="clear" w:color="ffffff" w:themeColor="accent4" w:themeTint="75" w:fill="c4b7d4" w:themeFill="accent4" w:themeFillTint="75"/>
        <w:tcBorders/>
      </w:tcPr>
    </w:tblStylePr>
    <w:tblStylePr w:type="band1Vert">
      <w:pPr>
        <w:pBdr/>
        <w:spacing/>
        <w:ind/>
      </w:pPr>
      <w:tblPr>
        <w:tblBorders/>
      </w:tblPr>
      <w:tcPr>
        <w:shd w:val="clear" w:color="ffffff" w:themeColor="accent4" w:themeTint="75" w:fill="c4b7d4" w:themeFill="accent4"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4" w:fill="8064a2" w:themeFill="accent4"/>
        <w:tcBorders/>
      </w:tcPr>
    </w:tblStylePr>
    <w:tblStylePr w:type="firstRow">
      <w:rPr>
        <w:rFonts w:ascii="Arial" w:hAnsi="Arial"/>
        <w:b/>
        <w:color w:val="ffffff"/>
        <w:sz w:val="22"/>
      </w:rPr>
      <w:pPr>
        <w:pBdr/>
        <w:spacing/>
        <w:ind/>
      </w:pPr>
      <w:tblPr>
        <w:tblBorders/>
      </w:tblPr>
      <w:tcPr>
        <w:shd w:val="clear" w:color="ffffff" w:themeColor="accent4" w:fill="8064a2" w:themeFill="accent4"/>
        <w:tcBorders/>
      </w:tcPr>
    </w:tblStylePr>
    <w:tblStylePr w:type="lastCol">
      <w:rPr>
        <w:rFonts w:ascii="Arial" w:hAnsi="Arial"/>
        <w:b/>
        <w:color w:val="ffffff"/>
        <w:sz w:val="22"/>
      </w:rPr>
      <w:pPr>
        <w:pBdr/>
        <w:spacing/>
        <w:ind/>
      </w:pPr>
      <w:tblPr>
        <w:tblBorders/>
      </w:tblPr>
      <w:tcPr>
        <w:shd w:val="clear" w:color="ffffff" w:themeColor="accent4" w:fill="8064a2" w:themeFill="accent4"/>
        <w:tcBorders/>
      </w:tcPr>
    </w:tblStylePr>
    <w:tblStylePr w:type="lastRow">
      <w:rPr>
        <w:rFonts w:ascii="Arial" w:hAnsi="Arial"/>
        <w:b/>
        <w:color w:val="ffffff"/>
        <w:sz w:val="22"/>
      </w:rPr>
      <w:pPr>
        <w:pBdr/>
        <w:spacing/>
        <w:ind/>
      </w:pPr>
      <w:tblPr>
        <w:tblBorders/>
      </w:tblPr>
      <w:tcPr>
        <w:shd w:val="clear" w:color="ffffff" w:themeColor="accent4" w:fill="8064a2" w:themeFill="accent4"/>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8">
    <w:name w:val="Grid Table 5 Dark - Accent 5"/>
    <w:basedOn w:val="32"/>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5" w:themeTint="34" w:fill="daeef3" w:themeFill="accent5" w:themeFillTint="34"/>
    </w:tblPr>
    <w:tcPr>
      <w:tcBorders/>
    </w:tcPr>
    <w:tblStylePr w:type="band1Horz">
      <w:pPr>
        <w:pBdr/>
        <w:spacing/>
        <w:ind/>
      </w:pPr>
      <w:tblPr>
        <w:tblBorders/>
      </w:tblPr>
      <w:tcPr>
        <w:shd w:val="clear" w:color="ffffff" w:themeColor="accent5" w:themeTint="75" w:fill="abd9e4" w:themeFill="accent5" w:themeFillTint="75"/>
        <w:tcBorders/>
      </w:tcPr>
    </w:tblStylePr>
    <w:tblStylePr w:type="band1Vert">
      <w:pPr>
        <w:pBdr/>
        <w:spacing/>
        <w:ind/>
      </w:pPr>
      <w:tblPr>
        <w:tblBorders/>
      </w:tblPr>
      <w:tcPr>
        <w:shd w:val="clear" w:color="ffffff" w:themeColor="accent5" w:themeTint="75" w:fill="abd9e4" w:themeFill="accent5"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5" w:fill="4bacc6" w:themeFill="accent5"/>
        <w:tcBorders/>
      </w:tcPr>
    </w:tblStylePr>
    <w:tblStylePr w:type="firstRow">
      <w:rPr>
        <w:rFonts w:ascii="Arial" w:hAnsi="Arial"/>
        <w:b/>
        <w:color w:val="ffffff"/>
        <w:sz w:val="22"/>
      </w:rPr>
      <w:pPr>
        <w:pBdr/>
        <w:spacing/>
        <w:ind/>
      </w:pPr>
      <w:tblPr>
        <w:tblBorders/>
      </w:tblPr>
      <w:tcPr>
        <w:shd w:val="clear" w:color="ffffff" w:themeColor="accent5" w:fill="4bacc6" w:themeFill="accent5"/>
        <w:tcBorders/>
      </w:tcPr>
    </w:tblStylePr>
    <w:tblStylePr w:type="lastCol">
      <w:rPr>
        <w:rFonts w:ascii="Arial" w:hAnsi="Arial"/>
        <w:b/>
        <w:color w:val="ffffff"/>
        <w:sz w:val="22"/>
      </w:rPr>
      <w:pPr>
        <w:pBdr/>
        <w:spacing/>
        <w:ind/>
      </w:pPr>
      <w:tblPr>
        <w:tblBorders/>
      </w:tblPr>
      <w:tcPr>
        <w:shd w:val="clear" w:color="ffffff" w:themeColor="accent5" w:fill="4bacc6" w:themeFill="accent5"/>
        <w:tcBorders/>
      </w:tcPr>
    </w:tblStylePr>
    <w:tblStylePr w:type="lastRow">
      <w:rPr>
        <w:rFonts w:ascii="Arial" w:hAnsi="Arial"/>
        <w:b/>
        <w:color w:val="ffffff"/>
        <w:sz w:val="22"/>
      </w:rPr>
      <w:pPr>
        <w:pBdr/>
        <w:spacing/>
        <w:ind/>
      </w:pPr>
      <w:tblPr>
        <w:tblBorders/>
      </w:tblPr>
      <w:tcPr>
        <w:shd w:val="clear" w:color="ffffff" w:themeColor="accent5" w:fill="4bacc6" w:themeFill="accent5"/>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9">
    <w:name w:val="Grid Table 5 Dark - Accent 6"/>
    <w:basedOn w:val="32"/>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6" w:themeTint="34" w:fill="fde9d8" w:themeFill="accent6" w:themeFillTint="34"/>
    </w:tblPr>
    <w:tcPr>
      <w:tcBorders/>
    </w:tcPr>
    <w:tblStylePr w:type="band1Horz">
      <w:pPr>
        <w:pBdr/>
        <w:spacing/>
        <w:ind/>
      </w:pPr>
      <w:tblPr>
        <w:tblBorders/>
      </w:tblPr>
      <w:tcPr>
        <w:shd w:val="clear" w:color="ffffff" w:themeColor="accent6" w:themeTint="75" w:fill="fbcda8" w:themeFill="accent6" w:themeFillTint="75"/>
        <w:tcBorders/>
      </w:tcPr>
    </w:tblStylePr>
    <w:tblStylePr w:type="band1Vert">
      <w:pPr>
        <w:pBdr/>
        <w:spacing/>
        <w:ind/>
      </w:pPr>
      <w:tblPr>
        <w:tblBorders/>
      </w:tblPr>
      <w:tcPr>
        <w:shd w:val="clear" w:color="ffffff" w:themeColor="accent6" w:themeTint="75" w:fill="fbcda8" w:themeFill="accent6"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6" w:fill="f79646" w:themeFill="accent6"/>
        <w:tcBorders/>
      </w:tcPr>
    </w:tblStylePr>
    <w:tblStylePr w:type="firstRow">
      <w:rPr>
        <w:rFonts w:ascii="Arial" w:hAnsi="Arial"/>
        <w:b/>
        <w:color w:val="ffffff"/>
        <w:sz w:val="22"/>
      </w:rPr>
      <w:pPr>
        <w:pBdr/>
        <w:spacing/>
        <w:ind/>
      </w:pPr>
      <w:tblPr>
        <w:tblBorders/>
      </w:tblPr>
      <w:tcPr>
        <w:shd w:val="clear" w:color="ffffff" w:themeColor="accent6" w:fill="f79646" w:themeFill="accent6"/>
        <w:tcBorders/>
      </w:tcPr>
    </w:tblStylePr>
    <w:tblStylePr w:type="lastCol">
      <w:rPr>
        <w:rFonts w:ascii="Arial" w:hAnsi="Arial"/>
        <w:b/>
        <w:color w:val="ffffff"/>
        <w:sz w:val="22"/>
      </w:rPr>
      <w:pPr>
        <w:pBdr/>
        <w:spacing/>
        <w:ind/>
      </w:pPr>
      <w:tblPr>
        <w:tblBorders/>
      </w:tblPr>
      <w:tcPr>
        <w:shd w:val="clear" w:color="ffffff" w:themeColor="accent6" w:fill="f79646" w:themeFill="accent6"/>
        <w:tcBorders/>
      </w:tcPr>
    </w:tblStylePr>
    <w:tblStylePr w:type="lastRow">
      <w:rPr>
        <w:rFonts w:ascii="Arial" w:hAnsi="Arial"/>
        <w:b/>
        <w:color w:val="ffffff"/>
        <w:sz w:val="22"/>
      </w:rPr>
      <w:pPr>
        <w:pBdr/>
        <w:spacing/>
        <w:ind/>
      </w:pPr>
      <w:tblPr>
        <w:tblBorders/>
      </w:tblPr>
      <w:tcPr>
        <w:shd w:val="clear" w:color="ffffff" w:themeColor="accent6" w:fill="f79646" w:themeFill="accent6"/>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0">
    <w:name w:val="Grid Table 6 Colorful"/>
    <w:basedOn w:val="32"/>
    <w:uiPriority w:val="99"/>
    <w:pPr>
      <w:pBdr/>
      <w:spacing w:after="0" w:line="240" w:lineRule="auto"/>
      <w:ind/>
    </w:pPr>
    <w:tblPr>
      <w:tblStyleRowBandSize w:val="1"/>
      <w:tblStyleColBandSize w:val="1"/>
      <w:tblInd w:w="0" w:type="dxa"/>
      <w:tblBorders>
        <w:top w:val="single" w:color="000000" w:themeColor="text1" w:themeTint="80" w:sz="4" w:space="0"/>
        <w:left w:val="single" w:color="000000" w:themeColor="text1" w:themeTint="80" w:sz="4" w:space="0"/>
        <w:bottom w:val="single" w:color="000000" w:themeColor="text1" w:themeTint="80" w:sz="4" w:space="0"/>
        <w:right w:val="single" w:color="000000" w:themeColor="text1" w:themeTint="80" w:sz="4" w:space="0"/>
        <w:insideH w:val="single" w:color="000000" w:themeColor="text1" w:themeTint="80" w:sz="4" w:space="0"/>
        <w:insideV w:val="single" w:color="000000" w:themeColor="text1" w:themeTint="80" w:sz="4" w:space="0"/>
      </w:tblBorders>
    </w:tblPr>
    <w:tcPr>
      <w:tcBorders/>
    </w:tcPr>
    <w:tblStylePr w:type="band1Horz">
      <w:rPr>
        <w:rFonts w:ascii="Arial" w:hAnsi="Arial"/>
        <w:color w:val="404040" w:themeColor="text1" w:themeTint="80" w:themeShade="95"/>
        <w:sz w:val="22"/>
      </w:rPr>
      <w:pPr>
        <w:pBdr/>
        <w:spacing/>
        <w:ind/>
      </w:pPr>
      <w:tblPr>
        <w:tblBorders/>
      </w:tblPr>
      <w:tcPr>
        <w:shd w:val="clear" w:color="ffffff" w:themeColor="text1" w:themeTint="34" w:fill="cbcbcb" w:themeFill="text1" w:themeFillTint="34"/>
        <w:tcBorders/>
      </w:tcPr>
    </w:tblStylePr>
    <w:tblStylePr w:type="band1Vert">
      <w:pPr>
        <w:pBdr/>
        <w:spacing/>
        <w:ind/>
      </w:pPr>
      <w:tblPr>
        <w:tblBorders/>
      </w:tblPr>
      <w:tcPr>
        <w:shd w:val="clear" w:color="ffffff" w:themeColor="text1" w:themeTint="34" w:fill="cbcbcb" w:themeFill="text1" w:themeFillTint="34"/>
        <w:tcBorders/>
      </w:tcPr>
    </w:tblStylePr>
    <w:tblStylePr w:type="band2Horz">
      <w:rPr>
        <w:rFonts w:ascii="Arial" w:hAnsi="Arial"/>
        <w:color w:val="404040"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4a4a4a" w:themeColor="text1" w:themeTint="80" w:themeShade="95"/>
      </w:rPr>
      <w:pPr>
        <w:pBdr/>
        <w:spacing/>
        <w:ind/>
      </w:pPr>
      <w:tblPr>
        <w:tblBorders/>
      </w:tblPr>
      <w:tcPr>
        <w:tcBorders/>
      </w:tcPr>
    </w:tblStylePr>
    <w:tblStylePr w:type="firstRow">
      <w:rPr>
        <w:b/>
        <w:color w:val="4a4a4a" w:themeColor="text1" w:themeTint="80" w:themeShade="95"/>
      </w:rPr>
      <w:pPr>
        <w:pBdr/>
        <w:spacing/>
        <w:ind/>
      </w:pPr>
      <w:tblPr>
        <w:tblBorders/>
      </w:tblPr>
      <w:tcPr>
        <w:tcBorders>
          <w:bottom w:val="single" w:color="000000" w:themeColor="text1" w:themeTint="80" w:sz="12" w:space="0"/>
        </w:tcBorders>
      </w:tcPr>
    </w:tblStylePr>
    <w:tblStylePr w:type="lastCol">
      <w:rPr>
        <w:b/>
        <w:color w:val="4a4a4a" w:themeColor="text1" w:themeTint="80" w:themeShade="95"/>
      </w:rPr>
      <w:pPr>
        <w:pBdr/>
        <w:spacing/>
        <w:ind/>
      </w:pPr>
      <w:tblPr>
        <w:tblBorders/>
      </w:tblPr>
      <w:tcPr>
        <w:tcBorders/>
      </w:tcPr>
    </w:tblStylePr>
    <w:tblStylePr w:type="lastRow">
      <w:rPr>
        <w:b/>
        <w:color w:val="4a4a4a" w:themeColor="text1" w:themeTint="80"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text1" w:themeTint="80" w:themeShade="95"/>
        <w:sz w:val="22"/>
      </w:rPr>
      <w:pPr>
        <w:pBdr/>
        <w:spacing/>
        <w:ind/>
      </w:pPr>
      <w:tblPr>
        <w:tblBorders/>
      </w:tblPr>
      <w:tcPr>
        <w:tcBorders/>
      </w:tcPr>
    </w:tblStylePr>
  </w:style>
  <w:style w:type="table" w:styleId="91">
    <w:name w:val="Grid Table 6 Colorful - Accent 1"/>
    <w:basedOn w:val="32"/>
    <w:uiPriority w:val="99"/>
    <w:pPr>
      <w:pBdr/>
      <w:spacing w:after="0" w:line="240" w:lineRule="auto"/>
      <w:ind/>
    </w:pPr>
    <w:tblPr>
      <w:tblStyleRowBandSize w:val="1"/>
      <w:tblStyleColBandSize w:val="1"/>
      <w:tblInd w:w="0" w:type="dxa"/>
      <w:tblBorders>
        <w:top w:val="single" w:color="000000" w:themeColor="accent1" w:themeTint="80" w:sz="4" w:space="0"/>
        <w:left w:val="single" w:color="000000" w:themeColor="accent1" w:themeTint="80" w:sz="4" w:space="0"/>
        <w:bottom w:val="single" w:color="000000" w:themeColor="accent1" w:themeTint="80" w:sz="4" w:space="0"/>
        <w:right w:val="single" w:color="000000" w:themeColor="accent1" w:themeTint="80" w:sz="4" w:space="0"/>
        <w:insideH w:val="single" w:color="000000" w:themeColor="accent1" w:themeTint="80" w:sz="4" w:space="0"/>
        <w:insideV w:val="single" w:color="000000" w:themeColor="accent1" w:themeTint="80" w:sz="4" w:space="0"/>
      </w:tblBorders>
    </w:tblPr>
    <w:tcPr>
      <w:tcBorders/>
    </w:tcPr>
    <w:tblStylePr w:type="band1Horz">
      <w:rPr>
        <w:rFonts w:ascii="Arial" w:hAnsi="Arial"/>
        <w:color w:val="404040" w:themeColor="accent1" w:themeTint="80" w:themeShade="95"/>
        <w:sz w:val="22"/>
      </w:rPr>
      <w:pPr>
        <w:pBdr/>
        <w:spacing/>
        <w:ind/>
      </w:pPr>
      <w:tblPr>
        <w:tblBorders/>
      </w:tblPr>
      <w:tcPr>
        <w:shd w:val="clear" w:color="ffffff" w:themeColor="accent1" w:themeTint="34" w:fill="dae5f1" w:themeFill="accent1" w:themeFillTint="34"/>
        <w:tcBorders/>
      </w:tcPr>
    </w:tblStylePr>
    <w:tblStylePr w:type="band1Vert">
      <w:pPr>
        <w:pBdr/>
        <w:spacing/>
        <w:ind/>
      </w:pPr>
      <w:tblPr>
        <w:tblBorders/>
      </w:tblPr>
      <w:tcPr>
        <w:shd w:val="clear" w:color="ffffff" w:themeColor="accent1" w:themeTint="34" w:fill="dae5f1" w:themeFill="accent1" w:themeFillTint="34"/>
        <w:tcBorders/>
      </w:tcPr>
    </w:tblStylePr>
    <w:tblStylePr w:type="band2Horz">
      <w:rPr>
        <w:rFonts w:ascii="Arial" w:hAnsi="Arial"/>
        <w:color w:val="404040" w:themeColor="accen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3e70a3" w:themeColor="accent1" w:themeTint="80" w:themeShade="95"/>
      </w:rPr>
      <w:pPr>
        <w:pBdr/>
        <w:spacing/>
        <w:ind/>
      </w:pPr>
      <w:tblPr>
        <w:tblBorders/>
      </w:tblPr>
      <w:tcPr>
        <w:tcBorders/>
      </w:tcPr>
    </w:tblStylePr>
    <w:tblStylePr w:type="firstRow">
      <w:rPr>
        <w:b/>
        <w:color w:val="3e70a3" w:themeColor="accent1" w:themeTint="80" w:themeShade="95"/>
      </w:rPr>
      <w:pPr>
        <w:pBdr/>
        <w:spacing/>
        <w:ind/>
      </w:pPr>
      <w:tblPr>
        <w:tblBorders/>
      </w:tblPr>
      <w:tcPr>
        <w:tcBorders>
          <w:bottom w:val="single" w:color="000000" w:themeColor="accent1" w:themeTint="80" w:sz="12" w:space="0"/>
        </w:tcBorders>
      </w:tcPr>
    </w:tblStylePr>
    <w:tblStylePr w:type="lastCol">
      <w:rPr>
        <w:b/>
        <w:color w:val="3e70a3" w:themeColor="accent1" w:themeTint="80" w:themeShade="95"/>
      </w:rPr>
      <w:pPr>
        <w:pBdr/>
        <w:spacing/>
        <w:ind/>
      </w:pPr>
      <w:tblPr>
        <w:tblBorders/>
      </w:tblPr>
      <w:tcPr>
        <w:tcBorders/>
      </w:tcPr>
    </w:tblStylePr>
    <w:tblStylePr w:type="lastRow">
      <w:rPr>
        <w:b/>
        <w:color w:val="3e70a3" w:themeColor="accent1" w:themeTint="80"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1" w:themeTint="80" w:themeShade="95"/>
        <w:sz w:val="22"/>
      </w:rPr>
      <w:pPr>
        <w:pBdr/>
        <w:spacing/>
        <w:ind/>
      </w:pPr>
      <w:tblPr>
        <w:tblBorders/>
      </w:tblPr>
      <w:tcPr>
        <w:tcBorders/>
      </w:tcPr>
    </w:tblStylePr>
  </w:style>
  <w:style w:type="table" w:styleId="92">
    <w:name w:val="Grid Table 6 Colorful - Accent 2"/>
    <w:basedOn w:val="32"/>
    <w:uiPriority w:val="99"/>
    <w:pPr>
      <w:pBdr/>
      <w:spacing w:after="0" w:line="240" w:lineRule="auto"/>
      <w:ind/>
    </w:pPr>
    <w:tblPr>
      <w:tblStyleRowBandSize w:val="1"/>
      <w:tblStyleColBandSize w:val="1"/>
      <w:tblInd w:w="0" w:type="dxa"/>
      <w:tbl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themeColor="accent2" w:themeTint="97" w:themeShade="95"/>
        <w:sz w:val="22"/>
      </w:rPr>
      <w:pPr>
        <w:pBdr/>
        <w:spacing/>
        <w:ind/>
      </w:pPr>
      <w:tblPr>
        <w:tblBorders/>
      </w:tblPr>
      <w:tcPr>
        <w:shd w:val="clear" w:color="ffffff" w:themeColor="accent2" w:themeTint="32" w:fill="f2dcdb" w:themeFill="accent2" w:themeFillTint="32"/>
        <w:tcBorders/>
      </w:tcPr>
    </w:tblStylePr>
    <w:tblStylePr w:type="band1Vert">
      <w:pPr>
        <w:pBdr/>
        <w:spacing/>
        <w:ind/>
      </w:pPr>
      <w:tblPr>
        <w:tblBorders/>
      </w:tblPr>
      <w:tcPr>
        <w:shd w:val="clear" w:color="ffffff" w:themeColor="accent2" w:themeTint="32" w:fill="f2dcdb" w:themeFill="accent2" w:themeFillTint="32"/>
        <w:tcBorders/>
      </w:tcPr>
    </w:tblStylePr>
    <w:tblStylePr w:type="band2Horz">
      <w:rPr>
        <w:rFonts w:ascii="Arial" w:hAnsi="Arial"/>
        <w:color w:val="404040"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9c3a37" w:themeColor="accent2" w:themeTint="97" w:themeShade="95"/>
      </w:rPr>
      <w:pPr>
        <w:pBdr/>
        <w:spacing/>
        <w:ind/>
      </w:pPr>
      <w:tblPr>
        <w:tblBorders/>
      </w:tblPr>
      <w:tcPr>
        <w:tcBorders/>
      </w:tcPr>
    </w:tblStylePr>
    <w:tblStylePr w:type="firstRow">
      <w:rPr>
        <w:b/>
        <w:color w:val="9c3a37" w:themeColor="accent2" w:themeTint="97" w:themeShade="95"/>
      </w:rPr>
      <w:pPr>
        <w:pBdr/>
        <w:spacing/>
        <w:ind/>
      </w:pPr>
      <w:tblPr>
        <w:tblBorders/>
      </w:tblPr>
      <w:tcPr>
        <w:tcBorders>
          <w:bottom w:val="single" w:color="000000" w:themeColor="accent2" w:themeTint="97" w:sz="12" w:space="0"/>
        </w:tcBorders>
      </w:tcPr>
    </w:tblStylePr>
    <w:tblStylePr w:type="lastCol">
      <w:rPr>
        <w:b/>
        <w:color w:val="9c3a37" w:themeColor="accent2" w:themeTint="97" w:themeShade="95"/>
      </w:rPr>
      <w:pPr>
        <w:pBdr/>
        <w:spacing/>
        <w:ind/>
      </w:pPr>
      <w:tblPr>
        <w:tblBorders/>
      </w:tblPr>
      <w:tcPr>
        <w:tcBorders/>
      </w:tcPr>
    </w:tblStylePr>
    <w:tblStylePr w:type="lastRow">
      <w:rPr>
        <w:b/>
        <w:color w:val="9c3a37" w:themeColor="accent2" w:themeTint="97"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2" w:themeTint="97" w:themeShade="95"/>
        <w:sz w:val="22"/>
      </w:rPr>
      <w:pPr>
        <w:pBdr/>
        <w:spacing/>
        <w:ind/>
      </w:pPr>
      <w:tblPr>
        <w:tblBorders/>
      </w:tblPr>
      <w:tcPr>
        <w:tcBorders/>
      </w:tcPr>
    </w:tblStylePr>
  </w:style>
  <w:style w:type="table" w:styleId="93">
    <w:name w:val="Grid Table 6 Colorful - Accent 3"/>
    <w:basedOn w:val="32"/>
    <w:uiPriority w:val="99"/>
    <w:pPr>
      <w:pBdr/>
      <w:spacing w:after="0" w:line="240" w:lineRule="auto"/>
      <w:ind/>
    </w:pPr>
    <w:tblPr>
      <w:tblStyleRowBandSize w:val="1"/>
      <w:tblStyleColBandSize w:val="1"/>
      <w:tblInd w:w="0" w:type="dxa"/>
      <w:tblBorders>
        <w:top w:val="single" w:color="000000" w:themeColor="accent3" w:themeTint="FE" w:sz="4" w:space="0"/>
        <w:left w:val="single" w:color="000000" w:themeColor="accent3" w:themeTint="FE" w:sz="4" w:space="0"/>
        <w:bottom w:val="single" w:color="000000" w:themeColor="accent3" w:themeTint="FE" w:sz="4" w:space="0"/>
        <w:right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themeColor="accent3" w:themeTint="FE" w:themeShade="95"/>
        <w:sz w:val="22"/>
      </w:rPr>
      <w:pPr>
        <w:pBdr/>
        <w:spacing/>
        <w:ind/>
      </w:pPr>
      <w:tblPr>
        <w:tblBorders/>
      </w:tblPr>
      <w:tcPr>
        <w:shd w:val="clear" w:color="ffffff" w:themeColor="accent3" w:themeTint="34" w:fill="eaf0dd" w:themeFill="accent3" w:themeFillTint="34"/>
        <w:tcBorders/>
      </w:tcPr>
    </w:tblStylePr>
    <w:tblStylePr w:type="band1Vert">
      <w:pPr>
        <w:pBdr/>
        <w:spacing/>
        <w:ind/>
      </w:pPr>
      <w:tblPr>
        <w:tblBorders/>
      </w:tblPr>
      <w:tcPr>
        <w:shd w:val="clear" w:color="ffffff" w:themeColor="accent3" w:themeTint="34" w:fill="eaf0dd" w:themeFill="accent3" w:themeFillTint="34"/>
        <w:tcBorders/>
      </w:tcPr>
    </w:tblStylePr>
    <w:tblStylePr w:type="band2Horz">
      <w:rPr>
        <w:rFonts w:ascii="Arial" w:hAnsi="Arial"/>
        <w:color w:val="404040" w:themeColor="accent3" w:themeTint="FE"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5c702f" w:themeColor="accent3" w:themeTint="FE" w:themeShade="95"/>
      </w:rPr>
      <w:pPr>
        <w:pBdr/>
        <w:spacing/>
        <w:ind/>
      </w:pPr>
      <w:tblPr>
        <w:tblBorders/>
      </w:tblPr>
      <w:tcPr>
        <w:tcBorders/>
      </w:tcPr>
    </w:tblStylePr>
    <w:tblStylePr w:type="firstRow">
      <w:rPr>
        <w:b/>
        <w:color w:val="5c702f" w:themeColor="accent3" w:themeTint="FE" w:themeShade="95"/>
      </w:rPr>
      <w:pPr>
        <w:pBdr/>
        <w:spacing/>
        <w:ind/>
      </w:pPr>
      <w:tblPr>
        <w:tblBorders/>
      </w:tblPr>
      <w:tcPr>
        <w:tcBorders>
          <w:bottom w:val="single" w:color="000000" w:themeColor="accent3" w:themeTint="FE" w:sz="12" w:space="0"/>
        </w:tcBorders>
      </w:tcPr>
    </w:tblStylePr>
    <w:tblStylePr w:type="lastCol">
      <w:rPr>
        <w:b/>
        <w:color w:val="5c702f" w:themeColor="accent3" w:themeTint="FE" w:themeShade="95"/>
      </w:rPr>
      <w:pPr>
        <w:pBdr/>
        <w:spacing/>
        <w:ind/>
      </w:pPr>
      <w:tblPr>
        <w:tblBorders/>
      </w:tblPr>
      <w:tcPr>
        <w:tcBorders/>
      </w:tcPr>
    </w:tblStylePr>
    <w:tblStylePr w:type="lastRow">
      <w:rPr>
        <w:b/>
        <w:color w:val="5c702f" w:themeColor="accent3" w:themeTint="FE"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3" w:themeTint="FE" w:themeShade="95"/>
        <w:sz w:val="22"/>
      </w:rPr>
      <w:pPr>
        <w:pBdr/>
        <w:spacing/>
        <w:ind/>
      </w:pPr>
      <w:tblPr>
        <w:tblBorders/>
      </w:tblPr>
      <w:tcPr>
        <w:tcBorders/>
      </w:tcPr>
    </w:tblStylePr>
  </w:style>
  <w:style w:type="table" w:styleId="94">
    <w:name w:val="Grid Table 6 Colorful - Accent 4"/>
    <w:basedOn w:val="32"/>
    <w:uiPriority w:val="99"/>
    <w:pPr>
      <w:pBdr/>
      <w:spacing w:after="0" w:line="240" w:lineRule="auto"/>
      <w:ind/>
    </w:pPr>
    <w:tblPr>
      <w:tblStyleRowBandSize w:val="1"/>
      <w:tblStyleColBandSize w:val="1"/>
      <w:tblInd w:w="0" w:type="dxa"/>
      <w:tbl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themeColor="accent4" w:themeTint="9A" w:themeShade="95"/>
        <w:sz w:val="22"/>
      </w:rPr>
      <w:pPr>
        <w:pBdr/>
        <w:spacing/>
        <w:ind/>
      </w:pPr>
      <w:tblPr>
        <w:tblBorders/>
      </w:tblPr>
      <w:tcPr>
        <w:shd w:val="clear" w:color="ffffff" w:themeColor="accent4" w:themeTint="34" w:fill="e5dfec" w:themeFill="accent4" w:themeFillTint="34"/>
        <w:tcBorders/>
      </w:tcPr>
    </w:tblStylePr>
    <w:tblStylePr w:type="band1Vert">
      <w:pPr>
        <w:pBdr/>
        <w:spacing/>
        <w:ind/>
      </w:pPr>
      <w:tblPr>
        <w:tblBorders/>
      </w:tblPr>
      <w:tcPr>
        <w:shd w:val="clear" w:color="ffffff" w:themeColor="accent4" w:themeTint="34" w:fill="e5dfec" w:themeFill="accent4" w:themeFillTint="34"/>
        <w:tcBorders/>
      </w:tcPr>
    </w:tblStylePr>
    <w:tblStylePr w:type="band2Horz">
      <w:rPr>
        <w:rFonts w:ascii="Arial" w:hAnsi="Arial"/>
        <w:color w:val="404040"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664f82" w:themeColor="accent4" w:themeTint="9A" w:themeShade="95"/>
      </w:rPr>
      <w:pPr>
        <w:pBdr/>
        <w:spacing/>
        <w:ind/>
      </w:pPr>
      <w:tblPr>
        <w:tblBorders/>
      </w:tblPr>
      <w:tcPr>
        <w:tcBorders/>
      </w:tcPr>
    </w:tblStylePr>
    <w:tblStylePr w:type="firstRow">
      <w:rPr>
        <w:b/>
        <w:color w:val="664f82" w:themeColor="accent4" w:themeTint="9A" w:themeShade="95"/>
      </w:rPr>
      <w:pPr>
        <w:pBdr/>
        <w:spacing/>
        <w:ind/>
      </w:pPr>
      <w:tblPr>
        <w:tblBorders/>
      </w:tblPr>
      <w:tcPr>
        <w:tcBorders>
          <w:bottom w:val="single" w:color="000000" w:themeColor="accent4" w:themeTint="9A" w:sz="12" w:space="0"/>
        </w:tcBorders>
      </w:tcPr>
    </w:tblStylePr>
    <w:tblStylePr w:type="lastCol">
      <w:rPr>
        <w:b/>
        <w:color w:val="664f82" w:themeColor="accent4" w:themeTint="9A" w:themeShade="95"/>
      </w:rPr>
      <w:pPr>
        <w:pBdr/>
        <w:spacing/>
        <w:ind/>
      </w:pPr>
      <w:tblPr>
        <w:tblBorders/>
      </w:tblPr>
      <w:tcPr>
        <w:tcBorders/>
      </w:tcPr>
    </w:tblStylePr>
    <w:tblStylePr w:type="lastRow">
      <w:rPr>
        <w:b/>
        <w:color w:val="664f82" w:themeColor="accent4" w:themeTint="9A"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4" w:themeTint="9A" w:themeShade="95"/>
        <w:sz w:val="22"/>
      </w:rPr>
      <w:pPr>
        <w:pBdr/>
        <w:spacing/>
        <w:ind/>
      </w:pPr>
      <w:tblPr>
        <w:tblBorders/>
      </w:tblPr>
      <w:tcPr>
        <w:tcBorders/>
      </w:tcPr>
    </w:tblStylePr>
  </w:style>
  <w:style w:type="table" w:styleId="95">
    <w:name w:val="Grid Table 6 Colorful - Accent 5"/>
    <w:basedOn w:val="32"/>
    <w:uiPriority w:val="99"/>
    <w:pPr>
      <w:pBdr/>
      <w:spacing w:after="0" w:line="240" w:lineRule="auto"/>
      <w:ind/>
    </w:pPr>
    <w:tblPr>
      <w:tblStyleRowBandSize w:val="1"/>
      <w:tblStyleColBandSize w:val="1"/>
      <w:tblInd w:w="0" w:type="dxa"/>
      <w:tblBorders>
        <w:top w:val="single" w:color="000000" w:themeColor="accent5" w:sz="4" w:space="0"/>
        <w:left w:val="single" w:color="000000" w:themeColor="accent5" w:sz="4" w:space="0"/>
        <w:bottom w:val="single" w:color="000000" w:themeColor="accent5" w:sz="4" w:space="0"/>
        <w:right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themeColor="accent5" w:themeShade="95"/>
        <w:sz w:val="22"/>
      </w:rPr>
      <w:pPr>
        <w:pBdr/>
        <w:spacing/>
        <w:ind/>
      </w:pPr>
      <w:tblPr>
        <w:tblBorders/>
      </w:tblPr>
      <w:tcPr>
        <w:shd w:val="clear" w:color="ffffff" w:themeColor="accent5" w:themeTint="34" w:fill="daeef3" w:themeFill="accent5" w:themeFillTint="34"/>
        <w:tcBorders/>
      </w:tcPr>
    </w:tblStylePr>
    <w:tblStylePr w:type="band1Vert">
      <w:pPr>
        <w:pBdr/>
        <w:spacing/>
        <w:ind/>
      </w:pPr>
      <w:tblPr>
        <w:tblBorders/>
      </w:tblPr>
      <w:tcPr>
        <w:shd w:val="clear" w:color="ffffff" w:themeColor="accent5" w:themeTint="34" w:fill="daeef3" w:themeFill="accent5" w:themeFillTint="34"/>
        <w:tcBorders/>
      </w:tcPr>
    </w:tblStylePr>
    <w:tblStylePr w:type="band2Horz">
      <w:rPr>
        <w:rFonts w:ascii="Arial" w:hAnsi="Arial"/>
        <w:color w:val="404040"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66777" w:themeColor="accent5" w:themeShade="95"/>
      </w:rPr>
      <w:pPr>
        <w:pBdr/>
        <w:spacing/>
        <w:ind/>
      </w:pPr>
      <w:tblPr>
        <w:tblBorders/>
      </w:tblPr>
      <w:tcPr>
        <w:tcBorders/>
      </w:tcPr>
    </w:tblStylePr>
    <w:tblStylePr w:type="firstRow">
      <w:rPr>
        <w:b/>
        <w:color w:val="266777" w:themeColor="accent5" w:themeShade="95"/>
      </w:rPr>
      <w:pPr>
        <w:pBdr/>
        <w:spacing/>
        <w:ind/>
      </w:pPr>
      <w:tblPr>
        <w:tblBorders/>
      </w:tblPr>
      <w:tcPr>
        <w:tcBorders>
          <w:bottom w:val="single" w:color="000000" w:themeColor="accent5" w:sz="12" w:space="0"/>
        </w:tcBorders>
      </w:tcPr>
    </w:tblStylePr>
    <w:tblStylePr w:type="lastCol">
      <w:rPr>
        <w:b/>
        <w:color w:val="266777" w:themeColor="accent5" w:themeShade="95"/>
      </w:rPr>
      <w:pPr>
        <w:pBdr/>
        <w:spacing/>
        <w:ind/>
      </w:pPr>
      <w:tblPr>
        <w:tblBorders/>
      </w:tblPr>
      <w:tcPr>
        <w:tcBorders/>
      </w:tcPr>
    </w:tblStylePr>
    <w:tblStylePr w:type="lastRow">
      <w:rPr>
        <w:b/>
        <w:color w:val="266777" w:themeColor="accent5"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5" w:themeShade="95"/>
        <w:sz w:val="22"/>
      </w:rPr>
      <w:pPr>
        <w:pBdr/>
        <w:spacing/>
        <w:ind/>
      </w:pPr>
      <w:tblPr>
        <w:tblBorders/>
      </w:tblPr>
      <w:tcPr>
        <w:tcBorders/>
      </w:tcPr>
    </w:tblStylePr>
  </w:style>
  <w:style w:type="table" w:styleId="96">
    <w:name w:val="Grid Table 6 Colorful - Accent 6"/>
    <w:basedOn w:val="32"/>
    <w:uiPriority w:val="99"/>
    <w:pPr>
      <w:pBdr/>
      <w:spacing w:after="0" w:line="240" w:lineRule="auto"/>
      <w:ind/>
    </w:pPr>
    <w:tblPr>
      <w:tblStyleRowBandSize w:val="1"/>
      <w:tblStyleColBandSize w:val="1"/>
      <w:tblInd w:w="0" w:type="dxa"/>
      <w:tblBorders>
        <w:top w:val="single" w:color="000000" w:themeColor="accent6" w:sz="4" w:space="0"/>
        <w:left w:val="single" w:color="000000" w:themeColor="accent6" w:sz="4" w:space="0"/>
        <w:bottom w:val="single" w:color="000000" w:themeColor="accent6" w:sz="4" w:space="0"/>
        <w:right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themeColor="accent5" w:themeShade="95"/>
        <w:sz w:val="22"/>
      </w:rPr>
      <w:pPr>
        <w:pBdr/>
        <w:spacing/>
        <w:ind/>
      </w:pPr>
      <w:tblPr>
        <w:tblBorders/>
      </w:tblPr>
      <w:tcPr>
        <w:shd w:val="clear" w:color="ffffff" w:themeColor="accent6" w:themeTint="34" w:fill="fde9d8" w:themeFill="accent6" w:themeFillTint="34"/>
        <w:tcBorders/>
      </w:tcPr>
    </w:tblStylePr>
    <w:tblStylePr w:type="band1Vert">
      <w:pPr>
        <w:pBdr/>
        <w:spacing/>
        <w:ind/>
      </w:pPr>
      <w:tblPr>
        <w:tblBorders/>
      </w:tblPr>
      <w:tcPr>
        <w:shd w:val="clear" w:color="ffffff" w:themeColor="accent6" w:themeTint="34" w:fill="fde9d8" w:themeFill="accent6" w:themeFillTint="34"/>
        <w:tcBorders/>
      </w:tcPr>
    </w:tblStylePr>
    <w:tblStylePr w:type="band2Horz">
      <w:rPr>
        <w:rFonts w:ascii="Arial" w:hAnsi="Arial"/>
        <w:color w:val="404040"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66777" w:themeColor="accent5" w:themeShade="95"/>
      </w:rPr>
      <w:pPr>
        <w:pBdr/>
        <w:spacing/>
        <w:ind/>
      </w:pPr>
      <w:tblPr>
        <w:tblBorders/>
      </w:tblPr>
      <w:tcPr>
        <w:tcBorders/>
      </w:tcPr>
    </w:tblStylePr>
    <w:tblStylePr w:type="firstRow">
      <w:rPr>
        <w:b/>
        <w:color w:val="266777" w:themeColor="accent5" w:themeShade="95"/>
      </w:rPr>
      <w:pPr>
        <w:pBdr/>
        <w:spacing/>
        <w:ind/>
      </w:pPr>
      <w:tblPr>
        <w:tblBorders/>
      </w:tblPr>
      <w:tcPr>
        <w:tcBorders>
          <w:bottom w:val="single" w:color="000000" w:themeColor="accent6" w:sz="12" w:space="0"/>
        </w:tcBorders>
      </w:tcPr>
    </w:tblStylePr>
    <w:tblStylePr w:type="lastCol">
      <w:rPr>
        <w:b/>
        <w:color w:val="266777" w:themeColor="accent5" w:themeShade="95"/>
      </w:rPr>
      <w:pPr>
        <w:pBdr/>
        <w:spacing/>
        <w:ind/>
      </w:pPr>
      <w:tblPr>
        <w:tblBorders/>
      </w:tblPr>
      <w:tcPr>
        <w:tcBorders/>
      </w:tcPr>
    </w:tblStylePr>
    <w:tblStylePr w:type="lastRow">
      <w:rPr>
        <w:b/>
        <w:color w:val="266777" w:themeColor="accent5"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5" w:themeShade="95"/>
        <w:sz w:val="22"/>
      </w:rPr>
      <w:pPr>
        <w:pBdr/>
        <w:spacing/>
        <w:ind/>
      </w:pPr>
      <w:tblPr>
        <w:tblBorders/>
      </w:tblPr>
      <w:tcPr>
        <w:tcBorders/>
      </w:tcPr>
    </w:tblStylePr>
  </w:style>
  <w:style w:type="table" w:styleId="97">
    <w:name w:val="Grid Table 7 Colorful"/>
    <w:basedOn w:val="32"/>
    <w:uiPriority w:val="99"/>
    <w:pPr>
      <w:pBdr/>
      <w:spacing w:after="0" w:line="240" w:lineRule="auto"/>
      <w:ind/>
    </w:pPr>
    <w:tblPr>
      <w:tblStyleRowBandSize w:val="1"/>
      <w:tblStyleColBandSize w:val="1"/>
      <w:tblInd w:w="0" w:type="dxa"/>
      <w:tblBorders>
        <w:bottom w:val="single" w:color="000000" w:themeColor="text1" w:themeTint="80" w:sz="4" w:space="0"/>
        <w:right w:val="single" w:color="000000" w:themeColor="text1" w:themeTint="80" w:sz="4" w:space="0"/>
        <w:insideH w:val="single" w:color="000000" w:themeColor="text1" w:themeTint="80" w:sz="4" w:space="0"/>
        <w:insideV w:val="single" w:color="000000" w:themeColor="text1" w:themeTint="80" w:sz="4" w:space="0"/>
      </w:tblBorders>
    </w:tblPr>
    <w:tcPr>
      <w:tcBorders/>
    </w:tcPr>
    <w:tblStylePr w:type="band1Horz">
      <w:rPr>
        <w:rFonts w:ascii="Arial" w:hAnsi="Arial"/>
        <w:color w:val="4a4a4a" w:themeColor="text1" w:themeTint="80" w:themeShade="95"/>
        <w:sz w:val="22"/>
      </w:rPr>
      <w:pPr>
        <w:pBdr/>
        <w:spacing/>
        <w:ind/>
      </w:pPr>
      <w:tblPr>
        <w:tblBorders/>
      </w:tblPr>
      <w:tcPr>
        <w:shd w:val="clear" w:color="ffffff" w:themeColor="text1" w:themeTint="0D" w:fill="f2f2f2" w:themeFill="text1" w:themeFillTint="0D"/>
        <w:tcBorders/>
      </w:tcPr>
    </w:tblStylePr>
    <w:tblStylePr w:type="band1Vert">
      <w:pPr>
        <w:pBdr/>
        <w:spacing/>
        <w:ind/>
      </w:pPr>
      <w:tblPr>
        <w:tblBorders/>
      </w:tblPr>
      <w:tcPr>
        <w:shd w:val="clear" w:color="ffffff" w:themeColor="text1" w:themeTint="0D" w:fill="f2f2f2" w:themeFill="text1" w:themeFillTint="0D"/>
        <w:tcBorders/>
      </w:tcPr>
    </w:tblStylePr>
    <w:tblStylePr w:type="band2Horz">
      <w:rPr>
        <w:rFonts w:ascii="Arial" w:hAnsi="Arial"/>
        <w:color w:val="4a4a4a"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4a4a4a" w:themeColor="text1" w:themeTint="80" w:themeShade="95"/>
        <w:sz w:val="22"/>
      </w:rPr>
      <w:pPr>
        <w:pBdr/>
        <w:spacing/>
        <w:ind/>
        <w:jc w:val="right"/>
      </w:pPr>
      <w:tblPr>
        <w:tblBorders/>
      </w:tblPr>
      <w:tcPr>
        <w:shd w:color="ffffff"/>
        <w:tcBorders>
          <w:top w:val="none"/>
          <w:left w:val="none"/>
          <w:bottom w:val="none"/>
          <w:right w:val="single" w:color="000000" w:themeColor="text1" w:themeTint="80" w:sz="4" w:space="0"/>
        </w:tcBorders>
      </w:tcPr>
    </w:tblStylePr>
    <w:tblStylePr w:type="firstRow">
      <w:rPr>
        <w:rFonts w:ascii="Arial" w:hAnsi="Arial"/>
        <w:b/>
        <w:color w:val="4a4a4a" w:themeColor="text1" w:themeTint="80" w:themeShade="95"/>
        <w:sz w:val="22"/>
      </w:rPr>
      <w:pPr>
        <w:pBdr/>
        <w:spacing/>
        <w:ind/>
      </w:pPr>
      <w:tblPr>
        <w:tblBorders/>
      </w:tblPr>
      <w:tcPr>
        <w:shd w:val="clear" w:color="ffffff" w:themeColor="light1" w:fill="ffffff" w:themeFill="light1"/>
        <w:tcBorders>
          <w:top w:val="none"/>
          <w:left w:val="none"/>
          <w:bottom w:val="single" w:color="000000" w:themeColor="text1" w:themeTint="80" w:sz="4" w:space="0"/>
          <w:right w:val="none"/>
        </w:tcBorders>
      </w:tcPr>
    </w:tblStylePr>
    <w:tblStylePr w:type="lastCol">
      <w:rPr>
        <w:rFonts w:ascii="Arial" w:hAnsi="Arial"/>
        <w:i/>
        <w:color w:val="4a4a4a" w:themeColor="text1" w:themeTint="80" w:themeShade="95"/>
        <w:sz w:val="22"/>
      </w:rPr>
      <w:pPr>
        <w:pBdr/>
        <w:spacing/>
        <w:ind/>
      </w:pPr>
      <w:tblPr>
        <w:tblBorders/>
      </w:tblPr>
      <w:tcPr>
        <w:shd w:color="ffffff"/>
        <w:tcBorders>
          <w:top w:val="none"/>
          <w:left w:val="single" w:color="000000" w:themeColor="text1" w:themeTint="80" w:sz="4" w:space="0"/>
          <w:bottom w:val="none"/>
          <w:right w:val="none"/>
        </w:tcBorders>
      </w:tcPr>
    </w:tblStylePr>
    <w:tblStylePr w:type="lastRow">
      <w:rPr>
        <w:rFonts w:ascii="Arial" w:hAnsi="Arial"/>
        <w:b/>
        <w:color w:val="4a4a4a" w:themeColor="text1" w:themeTint="80" w:themeShade="95"/>
        <w:sz w:val="22"/>
      </w:rPr>
      <w:pPr>
        <w:pBdr/>
        <w:spacing/>
        <w:ind/>
      </w:pPr>
      <w:tblPr>
        <w:tblBorders/>
      </w:tblPr>
      <w:tcPr>
        <w:shd w:val="clear" w:color="ffffff" w:themeColor="light1" w:fill="ffffff" w:themeFill="light1"/>
        <w:tcBorders>
          <w:top w:val="single" w:color="000000" w:themeColor="text1" w:themeTint="80"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8">
    <w:name w:val="Grid Table 7 Colorful - Accent 1"/>
    <w:basedOn w:val="32"/>
    <w:uiPriority w:val="99"/>
    <w:pPr>
      <w:pBdr/>
      <w:spacing w:after="0" w:line="240" w:lineRule="auto"/>
      <w:ind/>
    </w:pPr>
    <w:tblPr>
      <w:tblStyleRowBandSize w:val="1"/>
      <w:tblStyleColBandSize w:val="1"/>
      <w:tblInd w:w="0" w:type="dxa"/>
      <w:tblBorders>
        <w:bottom w:val="single" w:color="000000" w:themeColor="accent1" w:themeTint="80" w:sz="4" w:space="0"/>
        <w:right w:val="single" w:color="000000" w:themeColor="accent1" w:themeTint="80" w:sz="4" w:space="0"/>
        <w:insideH w:val="single" w:color="000000" w:themeColor="accent1" w:themeTint="80" w:sz="4" w:space="0"/>
        <w:insideV w:val="single" w:color="000000" w:themeColor="accent1" w:themeTint="80" w:sz="4" w:space="0"/>
      </w:tblBorders>
    </w:tblPr>
    <w:tcPr>
      <w:tcBorders/>
    </w:tcPr>
    <w:tblStylePr w:type="band1Horz">
      <w:rPr>
        <w:rFonts w:ascii="Arial" w:hAnsi="Arial"/>
        <w:color w:val="3e70a3" w:themeColor="accent1" w:themeTint="80" w:themeShade="95"/>
        <w:sz w:val="22"/>
      </w:rPr>
      <w:pPr>
        <w:pBdr/>
        <w:spacing/>
        <w:ind/>
      </w:pPr>
      <w:tblPr>
        <w:tblBorders/>
      </w:tblPr>
      <w:tcPr>
        <w:shd w:val="clear" w:color="ffffff" w:themeColor="accent1" w:themeTint="34" w:fill="dae5f1" w:themeFill="accent1" w:themeFillTint="34"/>
        <w:tcBorders/>
      </w:tcPr>
    </w:tblStylePr>
    <w:tblStylePr w:type="band1Vert">
      <w:pPr>
        <w:pBdr/>
        <w:spacing/>
        <w:ind/>
      </w:pPr>
      <w:tblPr>
        <w:tblBorders/>
      </w:tblPr>
      <w:tcPr>
        <w:shd w:val="clear" w:color="ffffff" w:themeColor="accent1" w:themeTint="34" w:fill="dae5f1" w:themeFill="accent1" w:themeFillTint="34"/>
        <w:tcBorders/>
      </w:tcPr>
    </w:tblStylePr>
    <w:tblStylePr w:type="band2Horz">
      <w:rPr>
        <w:rFonts w:ascii="Arial" w:hAnsi="Arial"/>
        <w:color w:val="3e70a3" w:themeColor="accen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3e70a3" w:themeColor="accent1" w:themeTint="80" w:themeShade="95"/>
        <w:sz w:val="22"/>
      </w:rPr>
      <w:pPr>
        <w:pBdr/>
        <w:spacing/>
        <w:ind/>
        <w:jc w:val="right"/>
      </w:pPr>
      <w:tblPr>
        <w:tblBorders/>
      </w:tblPr>
      <w:tcPr>
        <w:shd w:color="ffffff"/>
        <w:tcBorders>
          <w:top w:val="none"/>
          <w:left w:val="none"/>
          <w:bottom w:val="none"/>
          <w:right w:val="single" w:color="000000" w:themeColor="accent1" w:themeTint="80" w:sz="4" w:space="0"/>
        </w:tcBorders>
      </w:tcPr>
    </w:tblStylePr>
    <w:tblStylePr w:type="firstRow">
      <w:rPr>
        <w:rFonts w:ascii="Arial" w:hAnsi="Arial"/>
        <w:b/>
        <w:color w:val="3e70a3" w:themeColor="accent1" w:themeTint="80" w:themeShade="95"/>
        <w:sz w:val="22"/>
      </w:rPr>
      <w:pPr>
        <w:pBdr/>
        <w:spacing/>
        <w:ind/>
      </w:pPr>
      <w:tblPr>
        <w:tblBorders/>
      </w:tblPr>
      <w:tcPr>
        <w:shd w:val="clear" w:color="ffffff" w:themeColor="light1" w:fill="ffffff" w:themeFill="light1"/>
        <w:tcBorders>
          <w:top w:val="none"/>
          <w:left w:val="none"/>
          <w:bottom w:val="single" w:color="000000" w:themeColor="accent1" w:themeTint="80" w:sz="4" w:space="0"/>
          <w:right w:val="none"/>
        </w:tcBorders>
      </w:tcPr>
    </w:tblStylePr>
    <w:tblStylePr w:type="lastCol">
      <w:rPr>
        <w:rFonts w:ascii="Arial" w:hAnsi="Arial"/>
        <w:i/>
        <w:color w:val="3e70a3" w:themeColor="accent1" w:themeTint="80" w:themeShade="95"/>
        <w:sz w:val="22"/>
      </w:rPr>
      <w:pPr>
        <w:pBdr/>
        <w:spacing/>
        <w:ind/>
      </w:pPr>
      <w:tblPr>
        <w:tblBorders/>
      </w:tblPr>
      <w:tcPr>
        <w:shd w:color="ffffff"/>
        <w:tcBorders>
          <w:top w:val="none"/>
          <w:left w:val="single" w:color="000000" w:themeColor="accent1" w:themeTint="80" w:sz="4" w:space="0"/>
          <w:bottom w:val="none"/>
          <w:right w:val="none"/>
        </w:tcBorders>
      </w:tcPr>
    </w:tblStylePr>
    <w:tblStylePr w:type="lastRow">
      <w:rPr>
        <w:rFonts w:ascii="Arial" w:hAnsi="Arial"/>
        <w:b/>
        <w:color w:val="3e70a3" w:themeColor="accent1" w:themeTint="80" w:themeShade="95"/>
        <w:sz w:val="22"/>
      </w:rPr>
      <w:pPr>
        <w:pBdr/>
        <w:spacing/>
        <w:ind/>
      </w:pPr>
      <w:tblPr>
        <w:tblBorders/>
      </w:tblPr>
      <w:tcPr>
        <w:shd w:val="clear" w:color="ffffff" w:themeColor="light1" w:fill="ffffff" w:themeFill="light1"/>
        <w:tcBorders>
          <w:top w:val="single" w:color="000000" w:themeColor="accent1" w:themeTint="80"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9">
    <w:name w:val="Grid Table 7 Colorful - Accent 2"/>
    <w:basedOn w:val="32"/>
    <w:uiPriority w:val="99"/>
    <w:pPr>
      <w:pBdr/>
      <w:spacing w:after="0" w:line="240" w:lineRule="auto"/>
      <w:ind/>
    </w:pPr>
    <w:tblPr>
      <w:tblStyleRowBandSize w:val="1"/>
      <w:tblStyleColBandSize w:val="1"/>
      <w:tblInd w:w="0" w:type="dxa"/>
      <w:tblBorders>
        <w:bottom w:val="single" w:color="000000" w:themeColor="accent2" w:themeTint="97" w:sz="4" w:space="0"/>
        <w:right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9c3a37" w:themeColor="accent2" w:themeTint="97" w:themeShade="95"/>
        <w:sz w:val="22"/>
      </w:rPr>
      <w:pPr>
        <w:pBdr/>
        <w:spacing/>
        <w:ind/>
      </w:pPr>
      <w:tblPr>
        <w:tblBorders/>
      </w:tblPr>
      <w:tcPr>
        <w:shd w:val="clear" w:color="ffffff" w:themeColor="accent2" w:themeTint="32" w:fill="f2dcdb" w:themeFill="accent2" w:themeFillTint="32"/>
        <w:tcBorders/>
      </w:tcPr>
    </w:tblStylePr>
    <w:tblStylePr w:type="band1Vert">
      <w:pPr>
        <w:pBdr/>
        <w:spacing/>
        <w:ind/>
      </w:pPr>
      <w:tblPr>
        <w:tblBorders/>
      </w:tblPr>
      <w:tcPr>
        <w:shd w:val="clear" w:color="ffffff" w:themeColor="accent2" w:themeTint="32" w:fill="f2dcdb" w:themeFill="accent2" w:themeFillTint="32"/>
        <w:tcBorders/>
      </w:tcPr>
    </w:tblStylePr>
    <w:tblStylePr w:type="band2Horz">
      <w:rPr>
        <w:rFonts w:ascii="Arial" w:hAnsi="Arial"/>
        <w:color w:val="9c3a37"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9c3a37" w:themeColor="accent2" w:themeTint="97" w:themeShade="95"/>
        <w:sz w:val="22"/>
      </w:rPr>
      <w:pPr>
        <w:pBdr/>
        <w:spacing/>
        <w:ind/>
        <w:jc w:val="right"/>
      </w:pPr>
      <w:tblPr>
        <w:tblBorders/>
      </w:tblPr>
      <w:tcPr>
        <w:shd w:color="ffffff"/>
        <w:tcBorders>
          <w:top w:val="none"/>
          <w:left w:val="none"/>
          <w:bottom w:val="none"/>
          <w:right w:val="single" w:color="000000" w:themeColor="accent2" w:themeTint="97" w:sz="4" w:space="0"/>
        </w:tcBorders>
      </w:tcPr>
    </w:tblStylePr>
    <w:tblStylePr w:type="firstRow">
      <w:rPr>
        <w:rFonts w:ascii="Arial" w:hAnsi="Arial"/>
        <w:b/>
        <w:color w:val="9c3a37" w:themeColor="accent2" w:themeTint="97" w:themeShade="95"/>
        <w:sz w:val="22"/>
      </w:rPr>
      <w:pPr>
        <w:pBdr/>
        <w:spacing/>
        <w:ind/>
      </w:pPr>
      <w:tblPr>
        <w:tblBorders/>
      </w:tblPr>
      <w:tcPr>
        <w:shd w:val="clear" w:color="ffffff" w:themeColor="light1" w:fill="ffffff" w:themeFill="light1"/>
        <w:tcBorders>
          <w:top w:val="none"/>
          <w:left w:val="none"/>
          <w:bottom w:val="single" w:color="000000" w:themeColor="accent2" w:themeTint="97" w:sz="4" w:space="0"/>
          <w:right w:val="none"/>
        </w:tcBorders>
      </w:tcPr>
    </w:tblStylePr>
    <w:tblStylePr w:type="lastCol">
      <w:rPr>
        <w:rFonts w:ascii="Arial" w:hAnsi="Arial"/>
        <w:i/>
        <w:color w:val="9c3a37" w:themeColor="accent2" w:themeTint="97" w:themeShade="95"/>
        <w:sz w:val="22"/>
      </w:rPr>
      <w:pPr>
        <w:pBdr/>
        <w:spacing/>
        <w:ind/>
      </w:pPr>
      <w:tblPr>
        <w:tblBorders/>
      </w:tblPr>
      <w:tcPr>
        <w:shd w:color="ffffff"/>
        <w:tcBorders>
          <w:top w:val="none"/>
          <w:left w:val="single" w:color="000000" w:themeColor="accent2" w:themeTint="97" w:sz="4" w:space="0"/>
          <w:bottom w:val="none"/>
          <w:right w:val="none"/>
        </w:tcBorders>
      </w:tcPr>
    </w:tblStylePr>
    <w:tblStylePr w:type="lastRow">
      <w:rPr>
        <w:rFonts w:ascii="Arial" w:hAnsi="Arial"/>
        <w:b/>
        <w:color w:val="9c3a37" w:themeColor="accent2" w:themeTint="97" w:themeShade="95"/>
        <w:sz w:val="22"/>
      </w:rPr>
      <w:pPr>
        <w:pBdr/>
        <w:spacing/>
        <w:ind/>
      </w:pPr>
      <w:tblPr>
        <w:tblBorders/>
      </w:tblPr>
      <w:tcPr>
        <w:shd w:val="clear" w:color="ffffff" w:themeColor="light1" w:fill="ffffff" w:themeFill="light1"/>
        <w:tcBorders>
          <w:top w:val="single" w:color="000000" w:themeColor="accent2" w:themeTint="97"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0">
    <w:name w:val="Grid Table 7 Colorful - Accent 3"/>
    <w:basedOn w:val="32"/>
    <w:uiPriority w:val="99"/>
    <w:pPr>
      <w:pBdr/>
      <w:spacing w:after="0" w:line="240" w:lineRule="auto"/>
      <w:ind/>
    </w:pPr>
    <w:tblPr>
      <w:tblStyleRowBandSize w:val="1"/>
      <w:tblStyleColBandSize w:val="1"/>
      <w:tblInd w:w="0" w:type="dxa"/>
      <w:tblBorders>
        <w:bottom w:val="single" w:color="000000" w:themeColor="accent3" w:themeTint="FE" w:sz="4" w:space="0"/>
        <w:right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5c702f" w:themeColor="accent3" w:themeTint="FE" w:themeShade="95"/>
        <w:sz w:val="22"/>
      </w:rPr>
      <w:pPr>
        <w:pBdr/>
        <w:spacing/>
        <w:ind/>
      </w:pPr>
      <w:tblPr>
        <w:tblBorders/>
      </w:tblPr>
      <w:tcPr>
        <w:shd w:val="clear" w:color="ffffff" w:themeColor="accent3" w:themeTint="34" w:fill="eaf0dd" w:themeFill="accent3" w:themeFillTint="34"/>
        <w:tcBorders/>
      </w:tcPr>
    </w:tblStylePr>
    <w:tblStylePr w:type="band1Vert">
      <w:pPr>
        <w:pBdr/>
        <w:spacing/>
        <w:ind/>
      </w:pPr>
      <w:tblPr>
        <w:tblBorders/>
      </w:tblPr>
      <w:tcPr>
        <w:shd w:val="clear" w:color="ffffff" w:themeColor="accent3" w:themeTint="34" w:fill="eaf0dd" w:themeFill="accent3" w:themeFillTint="34"/>
        <w:tcBorders/>
      </w:tcPr>
    </w:tblStylePr>
    <w:tblStylePr w:type="band2Horz">
      <w:rPr>
        <w:rFonts w:ascii="Arial" w:hAnsi="Arial"/>
        <w:color w:val="5c702f" w:themeColor="accent3" w:themeTint="FE"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5c702f" w:themeColor="accent3" w:themeTint="FE" w:themeShade="95"/>
        <w:sz w:val="22"/>
      </w:rPr>
      <w:pPr>
        <w:pBdr/>
        <w:spacing/>
        <w:ind/>
        <w:jc w:val="right"/>
      </w:pPr>
      <w:tblPr>
        <w:tblBorders/>
      </w:tblPr>
      <w:tcPr>
        <w:shd w:color="ffffff"/>
        <w:tcBorders>
          <w:top w:val="none"/>
          <w:left w:val="none"/>
          <w:bottom w:val="none"/>
          <w:right w:val="single" w:color="000000" w:themeColor="accent3" w:themeTint="FE" w:sz="4" w:space="0"/>
        </w:tcBorders>
      </w:tcPr>
    </w:tblStylePr>
    <w:tblStylePr w:type="firstRow">
      <w:rPr>
        <w:rFonts w:ascii="Arial" w:hAnsi="Arial"/>
        <w:b/>
        <w:color w:val="5c702f" w:themeColor="accent3" w:themeTint="FE" w:themeShade="95"/>
        <w:sz w:val="22"/>
      </w:rPr>
      <w:pPr>
        <w:pBdr/>
        <w:spacing/>
        <w:ind/>
      </w:pPr>
      <w:tblPr>
        <w:tblBorders/>
      </w:tblPr>
      <w:tcPr>
        <w:shd w:val="clear" w:color="ffffff" w:themeColor="light1" w:fill="ffffff" w:themeFill="light1"/>
        <w:tcBorders>
          <w:top w:val="none"/>
          <w:left w:val="none"/>
          <w:bottom w:val="single" w:color="000000" w:themeColor="accent3" w:themeTint="FE" w:sz="4" w:space="0"/>
          <w:right w:val="none"/>
        </w:tcBorders>
      </w:tcPr>
    </w:tblStylePr>
    <w:tblStylePr w:type="lastCol">
      <w:rPr>
        <w:rFonts w:ascii="Arial" w:hAnsi="Arial"/>
        <w:i/>
        <w:color w:val="5c702f" w:themeColor="accent3" w:themeTint="FE" w:themeShade="95"/>
        <w:sz w:val="22"/>
      </w:rPr>
      <w:pPr>
        <w:pBdr/>
        <w:spacing/>
        <w:ind/>
      </w:pPr>
      <w:tblPr>
        <w:tblBorders/>
      </w:tblPr>
      <w:tcPr>
        <w:shd w:color="ffffff"/>
        <w:tcBorders>
          <w:top w:val="none"/>
          <w:left w:val="single" w:color="000000" w:themeColor="accent3" w:themeTint="FE" w:sz="4" w:space="0"/>
          <w:bottom w:val="none"/>
          <w:right w:val="none"/>
        </w:tcBorders>
      </w:tcPr>
    </w:tblStylePr>
    <w:tblStylePr w:type="lastRow">
      <w:rPr>
        <w:rFonts w:ascii="Arial" w:hAnsi="Arial"/>
        <w:b/>
        <w:color w:val="5c702f" w:themeColor="accent3" w:themeTint="FE" w:themeShade="95"/>
        <w:sz w:val="22"/>
      </w:rPr>
      <w:pPr>
        <w:pBdr/>
        <w:spacing/>
        <w:ind/>
      </w:pPr>
      <w:tblPr>
        <w:tblBorders/>
      </w:tblPr>
      <w:tcPr>
        <w:shd w:val="clear" w:color="ffffff" w:themeColor="light1" w:fill="ffffff" w:themeFill="light1"/>
        <w:tcBorders>
          <w:top w:val="single" w:color="000000" w:themeColor="accent3" w:themeTint="FE"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1">
    <w:name w:val="Grid Table 7 Colorful - Accent 4"/>
    <w:basedOn w:val="32"/>
    <w:uiPriority w:val="99"/>
    <w:pPr>
      <w:pBdr/>
      <w:spacing w:after="0" w:line="240" w:lineRule="auto"/>
      <w:ind/>
    </w:pPr>
    <w:tblPr>
      <w:tblStyleRowBandSize w:val="1"/>
      <w:tblStyleColBandSize w:val="1"/>
      <w:tblInd w:w="0" w:type="dxa"/>
      <w:tblBorders>
        <w:bottom w:val="single" w:color="000000" w:themeColor="accent4" w:themeTint="9A" w:sz="4" w:space="0"/>
        <w:right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664f82" w:themeColor="accent4" w:themeTint="9A" w:themeShade="95"/>
        <w:sz w:val="22"/>
      </w:rPr>
      <w:pPr>
        <w:pBdr/>
        <w:spacing/>
        <w:ind/>
      </w:pPr>
      <w:tblPr>
        <w:tblBorders/>
      </w:tblPr>
      <w:tcPr>
        <w:shd w:val="clear" w:color="ffffff" w:themeColor="accent4" w:themeTint="34" w:fill="e5dfec" w:themeFill="accent4" w:themeFillTint="34"/>
        <w:tcBorders/>
      </w:tcPr>
    </w:tblStylePr>
    <w:tblStylePr w:type="band1Vert">
      <w:pPr>
        <w:pBdr/>
        <w:spacing/>
        <w:ind/>
      </w:pPr>
      <w:tblPr>
        <w:tblBorders/>
      </w:tblPr>
      <w:tcPr>
        <w:shd w:val="clear" w:color="ffffff" w:themeColor="accent4" w:themeTint="34" w:fill="e5dfec" w:themeFill="accent4" w:themeFillTint="34"/>
        <w:tcBorders/>
      </w:tcPr>
    </w:tblStylePr>
    <w:tblStylePr w:type="band2Horz">
      <w:rPr>
        <w:rFonts w:ascii="Arial" w:hAnsi="Arial"/>
        <w:color w:val="664f82"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664f82" w:themeColor="accent4" w:themeTint="9A" w:themeShade="95"/>
        <w:sz w:val="22"/>
      </w:rPr>
      <w:pPr>
        <w:pBdr/>
        <w:spacing/>
        <w:ind/>
        <w:jc w:val="right"/>
      </w:pPr>
      <w:tblPr>
        <w:tblBorders/>
      </w:tblPr>
      <w:tcPr>
        <w:shd w:color="ffffff"/>
        <w:tcBorders>
          <w:top w:val="none"/>
          <w:left w:val="none"/>
          <w:bottom w:val="none"/>
          <w:right w:val="single" w:color="000000" w:themeColor="accent4" w:themeTint="9A" w:sz="4" w:space="0"/>
        </w:tcBorders>
      </w:tcPr>
    </w:tblStylePr>
    <w:tblStylePr w:type="firstRow">
      <w:rPr>
        <w:rFonts w:ascii="Arial" w:hAnsi="Arial"/>
        <w:b/>
        <w:color w:val="664f82" w:themeColor="accent4" w:themeTint="9A" w:themeShade="95"/>
        <w:sz w:val="22"/>
      </w:rPr>
      <w:pPr>
        <w:pBdr/>
        <w:spacing/>
        <w:ind/>
      </w:pPr>
      <w:tblPr>
        <w:tblBorders/>
      </w:tblPr>
      <w:tcPr>
        <w:shd w:val="clear" w:color="ffffff" w:themeColor="light1" w:fill="ffffff" w:themeFill="light1"/>
        <w:tcBorders>
          <w:top w:val="none"/>
          <w:left w:val="none"/>
          <w:bottom w:val="single" w:color="000000" w:themeColor="accent4" w:themeTint="9A" w:sz="4" w:space="0"/>
          <w:right w:val="none"/>
        </w:tcBorders>
      </w:tcPr>
    </w:tblStylePr>
    <w:tblStylePr w:type="lastCol">
      <w:rPr>
        <w:rFonts w:ascii="Arial" w:hAnsi="Arial"/>
        <w:i/>
        <w:color w:val="664f82" w:themeColor="accent4" w:themeTint="9A" w:themeShade="95"/>
        <w:sz w:val="22"/>
      </w:rPr>
      <w:pPr>
        <w:pBdr/>
        <w:spacing/>
        <w:ind/>
      </w:pPr>
      <w:tblPr>
        <w:tblBorders/>
      </w:tblPr>
      <w:tcPr>
        <w:shd w:color="ffffff"/>
        <w:tcBorders>
          <w:top w:val="none"/>
          <w:left w:val="single" w:color="000000" w:themeColor="accent4" w:themeTint="9A" w:sz="4" w:space="0"/>
          <w:bottom w:val="none"/>
          <w:right w:val="none"/>
        </w:tcBorders>
      </w:tcPr>
    </w:tblStylePr>
    <w:tblStylePr w:type="lastRow">
      <w:rPr>
        <w:rFonts w:ascii="Arial" w:hAnsi="Arial"/>
        <w:b/>
        <w:color w:val="664f82" w:themeColor="accent4" w:themeTint="9A" w:themeShade="95"/>
        <w:sz w:val="22"/>
      </w:rPr>
      <w:pPr>
        <w:pBdr/>
        <w:spacing/>
        <w:ind/>
      </w:pPr>
      <w:tblPr>
        <w:tblBorders/>
      </w:tblPr>
      <w:tcPr>
        <w:shd w:val="clear" w:color="ffffff" w:themeColor="light1" w:fill="ffffff" w:themeFill="light1"/>
        <w:tcBorders>
          <w:top w:val="single" w:color="000000" w:themeColor="accent4" w:themeTint="9A"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2">
    <w:name w:val="Grid Table 7 Colorful - Accent 5"/>
    <w:basedOn w:val="32"/>
    <w:uiPriority w:val="99"/>
    <w:pPr>
      <w:pBdr/>
      <w:spacing w:after="0" w:line="240" w:lineRule="auto"/>
      <w:ind/>
    </w:pPr>
    <w:tblPr>
      <w:tblStyleRowBandSize w:val="1"/>
      <w:tblStyleColBandSize w:val="1"/>
      <w:tblInd w:w="0" w:type="dxa"/>
      <w:tblBorders>
        <w:bottom w:val="single" w:color="000000" w:themeColor="accent5" w:themeTint="90" w:sz="4" w:space="0"/>
        <w:right w:val="single" w:color="000000" w:themeColor="accent5" w:themeTint="90" w:sz="4" w:space="0"/>
        <w:insideH w:val="single" w:color="000000" w:themeColor="accent5" w:themeTint="90" w:sz="4" w:space="0"/>
        <w:insideV w:val="single" w:color="000000" w:themeColor="accent5" w:themeTint="90" w:sz="4" w:space="0"/>
      </w:tblBorders>
    </w:tblPr>
    <w:tcPr>
      <w:tcBorders/>
    </w:tcPr>
    <w:tblStylePr w:type="band1Horz">
      <w:rPr>
        <w:rFonts w:ascii="Arial" w:hAnsi="Arial"/>
        <w:color w:val="266777" w:themeColor="accent5" w:themeShade="95"/>
        <w:sz w:val="22"/>
      </w:rPr>
      <w:pPr>
        <w:pBdr/>
        <w:spacing/>
        <w:ind/>
      </w:pPr>
      <w:tblPr>
        <w:tblBorders/>
      </w:tblPr>
      <w:tcPr>
        <w:shd w:val="clear" w:color="ffffff" w:themeColor="accent5" w:themeTint="34" w:fill="daeef3" w:themeFill="accent5" w:themeFillTint="34"/>
        <w:tcBorders/>
      </w:tcPr>
    </w:tblStylePr>
    <w:tblStylePr w:type="band1Vert">
      <w:pPr>
        <w:pBdr/>
        <w:spacing/>
        <w:ind/>
      </w:pPr>
      <w:tblPr>
        <w:tblBorders/>
      </w:tblPr>
      <w:tcPr>
        <w:shd w:val="clear" w:color="ffffff" w:themeColor="accent5" w:themeTint="34" w:fill="daeef3" w:themeFill="accent5" w:themeFillTint="34"/>
        <w:tcBorders/>
      </w:tcPr>
    </w:tblStylePr>
    <w:tblStylePr w:type="band2Horz">
      <w:rPr>
        <w:rFonts w:ascii="Arial" w:hAnsi="Arial"/>
        <w:color w:val="266777"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266777" w:themeColor="accent5" w:themeShade="95"/>
        <w:sz w:val="22"/>
      </w:rPr>
      <w:pPr>
        <w:pBdr/>
        <w:spacing/>
        <w:ind/>
        <w:jc w:val="right"/>
      </w:pPr>
      <w:tblPr>
        <w:tblBorders/>
      </w:tblPr>
      <w:tcPr>
        <w:shd w:color="ffffff"/>
        <w:tcBorders>
          <w:top w:val="none"/>
          <w:left w:val="none"/>
          <w:bottom w:val="none"/>
          <w:right w:val="single" w:color="000000" w:themeColor="accent5" w:themeTint="90" w:sz="4" w:space="0"/>
        </w:tcBorders>
      </w:tcPr>
    </w:tblStylePr>
    <w:tblStylePr w:type="firstRow">
      <w:rPr>
        <w:rFonts w:ascii="Arial" w:hAnsi="Arial"/>
        <w:b/>
        <w:color w:val="266777" w:themeColor="accent5" w:themeShade="95"/>
        <w:sz w:val="22"/>
      </w:rPr>
      <w:pPr>
        <w:pBdr/>
        <w:spacing/>
        <w:ind/>
      </w:pPr>
      <w:tblPr>
        <w:tblBorders/>
      </w:tblPr>
      <w:tcPr>
        <w:shd w:val="clear" w:color="ffffff" w:themeColor="light1" w:fill="ffffff" w:themeFill="light1"/>
        <w:tcBorders>
          <w:top w:val="none"/>
          <w:left w:val="none"/>
          <w:bottom w:val="single" w:color="000000" w:themeColor="accent5" w:themeTint="90" w:sz="4" w:space="0"/>
          <w:right w:val="none"/>
        </w:tcBorders>
      </w:tcPr>
    </w:tblStylePr>
    <w:tblStylePr w:type="lastCol">
      <w:rPr>
        <w:rFonts w:ascii="Arial" w:hAnsi="Arial"/>
        <w:i/>
        <w:color w:val="266777" w:themeColor="accent5" w:themeShade="95"/>
        <w:sz w:val="22"/>
      </w:rPr>
      <w:pPr>
        <w:pBdr/>
        <w:spacing/>
        <w:ind/>
      </w:pPr>
      <w:tblPr>
        <w:tblBorders/>
      </w:tblPr>
      <w:tcPr>
        <w:shd w:color="ffffff"/>
        <w:tcBorders>
          <w:top w:val="none"/>
          <w:left w:val="single" w:color="000000" w:themeColor="accent5" w:themeTint="90" w:sz="4" w:space="0"/>
          <w:bottom w:val="none"/>
          <w:right w:val="none"/>
        </w:tcBorders>
      </w:tcPr>
    </w:tblStylePr>
    <w:tblStylePr w:type="lastRow">
      <w:rPr>
        <w:rFonts w:ascii="Arial" w:hAnsi="Arial"/>
        <w:b/>
        <w:color w:val="266777" w:themeColor="accent5" w:themeShade="95"/>
        <w:sz w:val="22"/>
      </w:rPr>
      <w:pPr>
        <w:pBdr/>
        <w:spacing/>
        <w:ind/>
      </w:pPr>
      <w:tblPr>
        <w:tblBorders/>
      </w:tblPr>
      <w:tcPr>
        <w:shd w:val="clear" w:color="ffffff" w:themeColor="light1" w:fill="ffffff" w:themeFill="light1"/>
        <w:tcBorders>
          <w:top w:val="single" w:color="000000" w:themeColor="accent5" w:themeTint="90"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3">
    <w:name w:val="Grid Table 7 Colorful - Accent 6"/>
    <w:basedOn w:val="32"/>
    <w:uiPriority w:val="99"/>
    <w:pPr>
      <w:pBdr/>
      <w:spacing w:after="0" w:line="240" w:lineRule="auto"/>
      <w:ind/>
    </w:pPr>
    <w:tblPr>
      <w:tblStyleRowBandSize w:val="1"/>
      <w:tblStyleColBandSize w:val="1"/>
      <w:tblInd w:w="0" w:type="dxa"/>
      <w:tblBorders>
        <w:bottom w:val="single" w:color="000000" w:themeColor="accent6" w:themeTint="90" w:sz="4" w:space="0"/>
        <w:right w:val="single" w:color="000000" w:themeColor="accent6" w:themeTint="90" w:sz="4" w:space="0"/>
        <w:insideH w:val="single" w:color="000000" w:themeColor="accent6" w:themeTint="90" w:sz="4" w:space="0"/>
        <w:insideV w:val="single" w:color="000000" w:themeColor="accent6" w:themeTint="90" w:sz="4" w:space="0"/>
      </w:tblBorders>
    </w:tblPr>
    <w:tcPr>
      <w:tcBorders/>
    </w:tcPr>
    <w:tblStylePr w:type="band1Horz">
      <w:rPr>
        <w:rFonts w:ascii="Arial" w:hAnsi="Arial"/>
        <w:color w:val="b05307" w:themeColor="accent6" w:themeShade="95"/>
        <w:sz w:val="22"/>
      </w:rPr>
      <w:pPr>
        <w:pBdr/>
        <w:spacing/>
        <w:ind/>
      </w:pPr>
      <w:tblPr>
        <w:tblBorders/>
      </w:tblPr>
      <w:tcPr>
        <w:shd w:val="clear" w:color="ffffff" w:themeColor="accent6" w:themeTint="34" w:fill="fde9d8" w:themeFill="accent6" w:themeFillTint="34"/>
        <w:tcBorders/>
      </w:tcPr>
    </w:tblStylePr>
    <w:tblStylePr w:type="band1Vert">
      <w:pPr>
        <w:pBdr/>
        <w:spacing/>
        <w:ind/>
      </w:pPr>
      <w:tblPr>
        <w:tblBorders/>
      </w:tblPr>
      <w:tcPr>
        <w:shd w:val="clear" w:color="ffffff" w:themeColor="accent6" w:themeTint="34" w:fill="fde9d8" w:themeFill="accent6" w:themeFillTint="34"/>
        <w:tcBorders/>
      </w:tcPr>
    </w:tblStylePr>
    <w:tblStylePr w:type="band2Horz">
      <w:rPr>
        <w:rFonts w:ascii="Arial" w:hAnsi="Arial"/>
        <w:color w:val="b05307" w:themeColor="accent6"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b05307" w:themeColor="accent6" w:themeShade="95"/>
        <w:sz w:val="22"/>
      </w:rPr>
      <w:pPr>
        <w:pBdr/>
        <w:spacing/>
        <w:ind/>
        <w:jc w:val="right"/>
      </w:pPr>
      <w:tblPr>
        <w:tblBorders/>
      </w:tblPr>
      <w:tcPr>
        <w:shd w:color="ffffff"/>
        <w:tcBorders>
          <w:top w:val="none"/>
          <w:left w:val="none"/>
          <w:bottom w:val="none"/>
          <w:right w:val="single" w:color="000000" w:themeColor="accent6" w:themeTint="90" w:sz="4" w:space="0"/>
        </w:tcBorders>
      </w:tcPr>
    </w:tblStylePr>
    <w:tblStylePr w:type="firstRow">
      <w:rPr>
        <w:rFonts w:ascii="Arial" w:hAnsi="Arial"/>
        <w:b/>
        <w:color w:val="b05307" w:themeColor="accent6" w:themeShade="95"/>
        <w:sz w:val="22"/>
      </w:rPr>
      <w:pPr>
        <w:pBdr/>
        <w:spacing/>
        <w:ind/>
      </w:pPr>
      <w:tblPr>
        <w:tblBorders/>
      </w:tblPr>
      <w:tcPr>
        <w:shd w:val="clear" w:color="ffffff" w:themeColor="light1" w:fill="ffffff" w:themeFill="light1"/>
        <w:tcBorders>
          <w:top w:val="none"/>
          <w:left w:val="none"/>
          <w:bottom w:val="single" w:color="000000" w:themeColor="accent6" w:themeTint="90" w:sz="4" w:space="0"/>
          <w:right w:val="none"/>
        </w:tcBorders>
      </w:tcPr>
    </w:tblStylePr>
    <w:tblStylePr w:type="lastCol">
      <w:rPr>
        <w:rFonts w:ascii="Arial" w:hAnsi="Arial"/>
        <w:i/>
        <w:color w:val="b05307" w:themeColor="accent6" w:themeShade="95"/>
        <w:sz w:val="22"/>
      </w:rPr>
      <w:pPr>
        <w:pBdr/>
        <w:spacing/>
        <w:ind/>
      </w:pPr>
      <w:tblPr>
        <w:tblBorders/>
      </w:tblPr>
      <w:tcPr>
        <w:shd w:color="ffffff"/>
        <w:tcBorders>
          <w:top w:val="none"/>
          <w:left w:val="single" w:color="000000" w:themeColor="accent6" w:themeTint="90" w:sz="4" w:space="0"/>
          <w:bottom w:val="none"/>
          <w:right w:val="none"/>
        </w:tcBorders>
      </w:tcPr>
    </w:tblStylePr>
    <w:tblStylePr w:type="lastRow">
      <w:rPr>
        <w:rFonts w:ascii="Arial" w:hAnsi="Arial"/>
        <w:b/>
        <w:color w:val="b05307" w:themeColor="accent6" w:themeShade="95"/>
        <w:sz w:val="22"/>
      </w:rPr>
      <w:pPr>
        <w:pBdr/>
        <w:spacing/>
        <w:ind/>
      </w:pPr>
      <w:tblPr>
        <w:tblBorders/>
      </w:tblPr>
      <w:tcPr>
        <w:shd w:val="clear" w:color="ffffff" w:themeColor="light1" w:fill="ffffff" w:themeFill="light1"/>
        <w:tcBorders>
          <w:top w:val="single" w:color="000000" w:themeColor="accent6" w:themeTint="90"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4">
    <w:name w:val="List Table 1 Light"/>
    <w:basedOn w:val="32"/>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text1" w:themeTint="40" w:fill="bfbfbf" w:themeFill="text1" w:themeFillTint="40"/>
        <w:tcBorders/>
      </w:tcPr>
    </w:tblStylePr>
    <w:tblStylePr w:type="band1Vert">
      <w:pPr>
        <w:pBdr/>
        <w:spacing/>
        <w:ind/>
      </w:pPr>
      <w:tblPr>
        <w:tblBorders/>
      </w:tblPr>
      <w:tcPr>
        <w:shd w:val="clear" w:color="fffff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text1"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text1"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5">
    <w:name w:val="List Table 1 Light - Accent 1"/>
    <w:basedOn w:val="32"/>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1" w:themeTint="40" w:fill="d3e0ee" w:themeFill="accent1" w:themeFillTint="40"/>
        <w:tcBorders/>
      </w:tcPr>
    </w:tblStylePr>
    <w:tblStylePr w:type="band1Vert">
      <w:pPr>
        <w:pBdr/>
        <w:spacing/>
        <w:ind/>
      </w:pPr>
      <w:tblPr>
        <w:tblBorders/>
      </w:tblPr>
      <w:tcPr>
        <w:shd w:val="clear" w:color="ffffff" w:themeColor="accent1" w:themeTint="40" w:fill="d3e0ee"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1"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1"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6">
    <w:name w:val="List Table 1 Light - Accent 2"/>
    <w:basedOn w:val="32"/>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2" w:themeTint="40" w:fill="efd3d2" w:themeFill="accent2" w:themeFillTint="40"/>
        <w:tcBorders/>
      </w:tcPr>
    </w:tblStylePr>
    <w:tblStylePr w:type="band1Vert">
      <w:pPr>
        <w:pBdr/>
        <w:spacing/>
        <w:ind/>
      </w:pPr>
      <w:tblPr>
        <w:tblBorders/>
      </w:tblPr>
      <w:tcPr>
        <w:shd w:val="clear" w:color="ffffff" w:themeColor="accent2" w:themeTint="40" w:fill="efd3d2"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2"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2"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7">
    <w:name w:val="List Table 1 Light - Accent 3"/>
    <w:basedOn w:val="32"/>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3" w:themeTint="40" w:fill="e6eed5" w:themeFill="accent3" w:themeFillTint="40"/>
        <w:tcBorders/>
      </w:tcPr>
    </w:tblStylePr>
    <w:tblStylePr w:type="band1Vert">
      <w:pPr>
        <w:pBdr/>
        <w:spacing/>
        <w:ind/>
      </w:pPr>
      <w:tblPr>
        <w:tblBorders/>
      </w:tblPr>
      <w:tcPr>
        <w:shd w:val="clear" w:color="ffffff" w:themeColor="accent3" w:themeTint="40" w:fill="e6eed5"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3"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3"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8">
    <w:name w:val="List Table 1 Light - Accent 4"/>
    <w:basedOn w:val="32"/>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4" w:themeTint="40" w:fill="dfd8e7" w:themeFill="accent4" w:themeFillTint="40"/>
        <w:tcBorders/>
      </w:tcPr>
    </w:tblStylePr>
    <w:tblStylePr w:type="band1Vert">
      <w:pPr>
        <w:pBdr/>
        <w:spacing/>
        <w:ind/>
      </w:pPr>
      <w:tblPr>
        <w:tblBorders/>
      </w:tblPr>
      <w:tcPr>
        <w:shd w:val="clear" w:color="ffffff" w:themeColor="accent4" w:themeTint="40" w:fill="dfd8e7"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4"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4"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9">
    <w:name w:val="List Table 1 Light - Accent 5"/>
    <w:basedOn w:val="32"/>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5" w:themeTint="40" w:fill="d1eaf0" w:themeFill="accent5" w:themeFillTint="40"/>
        <w:tcBorders/>
      </w:tcPr>
    </w:tblStylePr>
    <w:tblStylePr w:type="band1Vert">
      <w:pPr>
        <w:pBdr/>
        <w:spacing/>
        <w:ind/>
      </w:pPr>
      <w:tblPr>
        <w:tblBorders/>
      </w:tblPr>
      <w:tcPr>
        <w:shd w:val="clear" w:color="ffffff" w:themeColor="accent5" w:themeTint="40" w:fill="d1eaf0"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5"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0">
    <w:name w:val="List Table 1 Light - Accent 6"/>
    <w:basedOn w:val="32"/>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6" w:themeTint="40" w:fill="fce4d1" w:themeFill="accent6" w:themeFillTint="40"/>
        <w:tcBorders/>
      </w:tcPr>
    </w:tblStylePr>
    <w:tblStylePr w:type="band1Vert">
      <w:pPr>
        <w:pBdr/>
        <w:spacing/>
        <w:ind/>
      </w:pPr>
      <w:tblPr>
        <w:tblBorders/>
      </w:tblPr>
      <w:tcPr>
        <w:shd w:val="clear" w:color="ffffff" w:themeColor="accent6" w:themeTint="40" w:fill="fce4d1"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6"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6"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1">
    <w:name w:val="List Table 2"/>
    <w:basedOn w:val="32"/>
    <w:uiPriority w:val="99"/>
    <w:pPr>
      <w:pBdr/>
      <w:spacing w:after="0" w:line="240" w:lineRule="auto"/>
      <w:ind/>
    </w:pPr>
    <w:tblPr>
      <w:tblStyleRowBandSize w:val="1"/>
      <w:tblStyleColBandSize w:val="1"/>
      <w:tblInd w:w="0" w:type="dxa"/>
      <w:tblBorders>
        <w:top w:val="single" w:color="000000" w:themeColor="text1" w:themeTint="90" w:sz="4" w:space="0"/>
        <w:bottom w:val="single" w:color="000000" w:themeColor="text1" w:themeTint="90" w:sz="4" w:space="0"/>
        <w:insideH w:val="single" w:color="000000" w:themeColor="text1" w:themeTint="90" w:sz="4" w:space="0"/>
      </w:tblBorders>
    </w:tblPr>
    <w:tcPr>
      <w:tcBorders/>
    </w:tcPr>
    <w:tblStylePr w:type="band1Horz">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1Vert">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text1" w:themeTint="90" w:sz="4" w:space="0"/>
          <w:left w:val="none" w:color="000000" w:sz="4" w:space="0"/>
          <w:bottom w:val="single" w:color="000000" w:themeColor="text1"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text1" w:themeTint="90" w:sz="4" w:space="0"/>
          <w:left w:val="none" w:color="000000" w:sz="4" w:space="0"/>
          <w:bottom w:val="single" w:color="000000" w:themeColor="text1"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2">
    <w:name w:val="List Table 2 - Accent 1"/>
    <w:basedOn w:val="32"/>
    <w:uiPriority w:val="99"/>
    <w:pPr>
      <w:pBdr/>
      <w:spacing w:after="0" w:line="240" w:lineRule="auto"/>
      <w:ind/>
    </w:pPr>
    <w:tblPr>
      <w:tblStyleRowBandSize w:val="1"/>
      <w:tblStyleColBandSize w:val="1"/>
      <w:tblInd w:w="0" w:type="dxa"/>
      <w:tblBorders>
        <w:top w:val="single" w:color="000000" w:themeColor="accent1" w:themeTint="90" w:sz="4" w:space="0"/>
        <w:bottom w:val="single" w:color="000000" w:themeColor="accent1" w:themeTint="90" w:sz="4" w:space="0"/>
        <w:insideH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40" w:fill="d3e0ee" w:themeFill="accent1" w:themeFillTint="40"/>
        <w:tcBorders/>
      </w:tcPr>
    </w:tblStylePr>
    <w:tblStylePr w:type="band1Vert">
      <w:rPr>
        <w:rFonts w:ascii="Arial" w:hAnsi="Arial"/>
        <w:color w:val="404040"/>
        <w:sz w:val="22"/>
      </w:rPr>
      <w:pPr>
        <w:pBdr/>
        <w:spacing/>
        <w:ind/>
      </w:pPr>
      <w:tblPr>
        <w:tblBorders/>
      </w:tblPr>
      <w:tcPr>
        <w:shd w:val="clear" w:color="ffffff" w:themeColor="accent1" w:themeTint="40" w:fill="d3e0ee"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1" w:themeTint="90" w:sz="4" w:space="0"/>
          <w:left w:val="none" w:color="000000" w:sz="4" w:space="0"/>
          <w:bottom w:val="single" w:color="000000" w:themeColor="accent1"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1" w:themeTint="90" w:sz="4" w:space="0"/>
          <w:left w:val="none" w:color="000000" w:sz="4" w:space="0"/>
          <w:bottom w:val="single" w:color="000000" w:themeColor="accent1"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3">
    <w:name w:val="List Table 2 - Accent 2"/>
    <w:basedOn w:val="32"/>
    <w:uiPriority w:val="99"/>
    <w:pPr>
      <w:pBdr/>
      <w:spacing w:after="0" w:line="240" w:lineRule="auto"/>
      <w:ind/>
    </w:pPr>
    <w:tblPr>
      <w:tblStyleRowBandSize w:val="1"/>
      <w:tblStyleColBandSize w:val="1"/>
      <w:tblInd w:w="0" w:type="dxa"/>
      <w:tblBorders>
        <w:top w:val="single" w:color="000000" w:themeColor="accent2" w:themeTint="90" w:sz="4" w:space="0"/>
        <w:bottom w:val="single" w:color="000000" w:themeColor="accent2" w:themeTint="90" w:sz="4" w:space="0"/>
        <w:insideH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40" w:fill="efd3d2" w:themeFill="accent2" w:themeFillTint="40"/>
        <w:tcBorders/>
      </w:tcPr>
    </w:tblStylePr>
    <w:tblStylePr w:type="band1Vert">
      <w:rPr>
        <w:rFonts w:ascii="Arial" w:hAnsi="Arial"/>
        <w:color w:val="404040"/>
        <w:sz w:val="22"/>
      </w:rPr>
      <w:pPr>
        <w:pBdr/>
        <w:spacing/>
        <w:ind/>
      </w:pPr>
      <w:tblPr>
        <w:tblBorders/>
      </w:tblPr>
      <w:tcPr>
        <w:shd w:val="clear" w:color="ffffff" w:themeColor="accent2" w:themeTint="40" w:fill="efd3d2"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2" w:themeTint="90" w:sz="4" w:space="0"/>
          <w:left w:val="none" w:color="000000" w:sz="4" w:space="0"/>
          <w:bottom w:val="single" w:color="000000" w:themeColor="accent2"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2" w:themeTint="90" w:sz="4" w:space="0"/>
          <w:left w:val="none" w:color="000000" w:sz="4" w:space="0"/>
          <w:bottom w:val="single" w:color="000000" w:themeColor="accent2"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4">
    <w:name w:val="List Table 2 - Accent 3"/>
    <w:basedOn w:val="32"/>
    <w:uiPriority w:val="99"/>
    <w:pPr>
      <w:pBdr/>
      <w:spacing w:after="0" w:line="240" w:lineRule="auto"/>
      <w:ind/>
    </w:pPr>
    <w:tblPr>
      <w:tblStyleRowBandSize w:val="1"/>
      <w:tblStyleColBandSize w:val="1"/>
      <w:tblInd w:w="0" w:type="dxa"/>
      <w:tblBorders>
        <w:top w:val="single" w:color="000000" w:themeColor="accent3" w:themeTint="90" w:sz="4" w:space="0"/>
        <w:bottom w:val="single" w:color="000000" w:themeColor="accent3" w:themeTint="90" w:sz="4" w:space="0"/>
        <w:insideH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40" w:fill="e6eed5" w:themeFill="accent3" w:themeFillTint="40"/>
        <w:tcBorders/>
      </w:tcPr>
    </w:tblStylePr>
    <w:tblStylePr w:type="band1Vert">
      <w:rPr>
        <w:rFonts w:ascii="Arial" w:hAnsi="Arial"/>
        <w:color w:val="404040"/>
        <w:sz w:val="22"/>
      </w:rPr>
      <w:pPr>
        <w:pBdr/>
        <w:spacing/>
        <w:ind/>
      </w:pPr>
      <w:tblPr>
        <w:tblBorders/>
      </w:tblPr>
      <w:tcPr>
        <w:shd w:val="clear" w:color="ffffff" w:themeColor="accent3" w:themeTint="40" w:fill="e6eed5"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3" w:themeTint="90" w:sz="4" w:space="0"/>
          <w:left w:val="none" w:color="000000" w:sz="4" w:space="0"/>
          <w:bottom w:val="single" w:color="000000" w:themeColor="accent3"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3" w:themeTint="90" w:sz="4" w:space="0"/>
          <w:left w:val="none" w:color="000000" w:sz="4" w:space="0"/>
          <w:bottom w:val="single" w:color="000000" w:themeColor="accent3"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5">
    <w:name w:val="List Table 2 - Accent 4"/>
    <w:basedOn w:val="32"/>
    <w:uiPriority w:val="99"/>
    <w:pPr>
      <w:pBdr/>
      <w:spacing w:after="0" w:line="240" w:lineRule="auto"/>
      <w:ind/>
    </w:pPr>
    <w:tblPr>
      <w:tblStyleRowBandSize w:val="1"/>
      <w:tblStyleColBandSize w:val="1"/>
      <w:tblInd w:w="0" w:type="dxa"/>
      <w:tblBorders>
        <w:top w:val="single" w:color="000000" w:themeColor="accent4" w:themeTint="90" w:sz="4" w:space="0"/>
        <w:bottom w:val="single" w:color="000000" w:themeColor="accent4" w:themeTint="90" w:sz="4" w:space="0"/>
        <w:insideH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40" w:fill="dfd8e7" w:themeFill="accent4" w:themeFillTint="40"/>
        <w:tcBorders/>
      </w:tcPr>
    </w:tblStylePr>
    <w:tblStylePr w:type="band1Vert">
      <w:rPr>
        <w:rFonts w:ascii="Arial" w:hAnsi="Arial"/>
        <w:color w:val="404040"/>
        <w:sz w:val="22"/>
      </w:rPr>
      <w:pPr>
        <w:pBdr/>
        <w:spacing/>
        <w:ind/>
      </w:pPr>
      <w:tblPr>
        <w:tblBorders/>
      </w:tblPr>
      <w:tcPr>
        <w:shd w:val="clear" w:color="ffffff" w:themeColor="accent4" w:themeTint="40" w:fill="dfd8e7"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4" w:themeTint="90" w:sz="4" w:space="0"/>
          <w:left w:val="none" w:color="000000" w:sz="4" w:space="0"/>
          <w:bottom w:val="single" w:color="000000" w:themeColor="accent4"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4" w:themeTint="90" w:sz="4" w:space="0"/>
          <w:left w:val="none" w:color="000000" w:sz="4" w:space="0"/>
          <w:bottom w:val="single" w:color="000000" w:themeColor="accent4"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6">
    <w:name w:val="List Table 2 - Accent 5"/>
    <w:basedOn w:val="32"/>
    <w:uiPriority w:val="99"/>
    <w:pPr>
      <w:pBdr/>
      <w:spacing w:after="0" w:line="240" w:lineRule="auto"/>
      <w:ind/>
    </w:pPr>
    <w:tblPr>
      <w:tblStyleRowBandSize w:val="1"/>
      <w:tblStyleColBandSize w:val="1"/>
      <w:tblInd w:w="0" w:type="dxa"/>
      <w:tblBorders>
        <w:top w:val="single" w:color="000000" w:themeColor="accent5" w:themeTint="90" w:sz="4" w:space="0"/>
        <w:bottom w:val="single" w:color="000000" w:themeColor="accent5" w:themeTint="90" w:sz="4" w:space="0"/>
        <w:insideH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40" w:fill="d1eaf0" w:themeFill="accent5" w:themeFillTint="40"/>
        <w:tcBorders/>
      </w:tcPr>
    </w:tblStylePr>
    <w:tblStylePr w:type="band1Vert">
      <w:rPr>
        <w:rFonts w:ascii="Arial" w:hAnsi="Arial"/>
        <w:color w:val="404040"/>
        <w:sz w:val="22"/>
      </w:rPr>
      <w:pPr>
        <w:pBdr/>
        <w:spacing/>
        <w:ind/>
      </w:pPr>
      <w:tblPr>
        <w:tblBorders/>
      </w:tblPr>
      <w:tcPr>
        <w:shd w:val="clear" w:color="ffffff" w:themeColor="accent5" w:themeTint="40" w:fill="d1eaf0"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5" w:themeTint="90" w:sz="4" w:space="0"/>
          <w:left w:val="none" w:color="000000" w:sz="4" w:space="0"/>
          <w:bottom w:val="single" w:color="000000" w:themeColor="accent5"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5" w:themeTint="90" w:sz="4" w:space="0"/>
          <w:left w:val="none" w:color="000000" w:sz="4" w:space="0"/>
          <w:bottom w:val="single" w:color="000000" w:themeColor="accent5"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7">
    <w:name w:val="List Table 2 - Accent 6"/>
    <w:basedOn w:val="32"/>
    <w:uiPriority w:val="99"/>
    <w:pPr>
      <w:pBdr/>
      <w:spacing w:after="0" w:line="240" w:lineRule="auto"/>
      <w:ind/>
    </w:pPr>
    <w:tblPr>
      <w:tblStyleRowBandSize w:val="1"/>
      <w:tblStyleColBandSize w:val="1"/>
      <w:tblInd w:w="0" w:type="dxa"/>
      <w:tblBorders>
        <w:top w:val="single" w:color="000000" w:themeColor="accent6" w:themeTint="90" w:sz="4" w:space="0"/>
        <w:bottom w:val="single" w:color="000000" w:themeColor="accent6" w:themeTint="90" w:sz="4" w:space="0"/>
        <w:insideH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40" w:fill="fce4d1" w:themeFill="accent6" w:themeFillTint="40"/>
        <w:tcBorders/>
      </w:tcPr>
    </w:tblStylePr>
    <w:tblStylePr w:type="band1Vert">
      <w:rPr>
        <w:rFonts w:ascii="Arial" w:hAnsi="Arial"/>
        <w:color w:val="404040"/>
        <w:sz w:val="22"/>
      </w:rPr>
      <w:pPr>
        <w:pBdr/>
        <w:spacing/>
        <w:ind/>
      </w:pPr>
      <w:tblPr>
        <w:tblBorders/>
      </w:tblPr>
      <w:tcPr>
        <w:shd w:val="clear" w:color="ffffff" w:themeColor="accent6" w:themeTint="40" w:fill="fce4d1"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6" w:themeTint="90" w:sz="4" w:space="0"/>
          <w:left w:val="none" w:color="000000" w:sz="4" w:space="0"/>
          <w:bottom w:val="single" w:color="000000" w:themeColor="accent6"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6" w:themeTint="90" w:sz="4" w:space="0"/>
          <w:left w:val="none" w:color="000000" w:sz="4" w:space="0"/>
          <w:bottom w:val="single" w:color="000000" w:themeColor="accent6"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8">
    <w:name w:val="List Table 3"/>
    <w:basedOn w:val="32"/>
    <w:uiPriority w:val="99"/>
    <w:pPr>
      <w:pBdr/>
      <w:spacing w:after="0" w:line="240" w:lineRule="auto"/>
      <w:ind/>
    </w:pPr>
    <w:tblPr>
      <w:tblStyleRowBandSize w:val="1"/>
      <w:tblStyleColBandSize w:val="1"/>
      <w:tblInd w:w="0" w:type="dxa"/>
      <w:tblBorders>
        <w:top w:val="single" w:color="000000" w:themeColor="text1" w:sz="4" w:space="0"/>
        <w:left w:val="single" w:color="000000" w:themeColor="text1" w:sz="4" w:space="0"/>
        <w:bottom w:val="single" w:color="000000" w:themeColor="text1" w:sz="4" w:space="0"/>
        <w:right w:val="single" w:color="000000" w:themeColor="text1" w:sz="4" w:space="0"/>
      </w:tblBorders>
    </w:tblPr>
    <w:tcPr>
      <w:tcBorders/>
    </w:tcPr>
    <w:tblStylePr w:type="band1Horz">
      <w:rPr>
        <w:rFonts w:ascii="Arial" w:hAnsi="Arial"/>
        <w:color w:val="404040"/>
        <w:sz w:val="22"/>
      </w:rPr>
      <w:pPr>
        <w:pBdr/>
        <w:spacing/>
        <w:ind/>
      </w:pPr>
      <w:tblPr>
        <w:tblBorders/>
      </w:tblPr>
      <w:tcPr>
        <w:tcBorders>
          <w:top w:val="single" w:color="000000" w:themeColor="text1" w:sz="4" w:space="0"/>
          <w:bottom w:val="single" w:color="000000" w:themeColor="text1" w:sz="4" w:space="0"/>
        </w:tcBorders>
      </w:tcPr>
    </w:tblStylePr>
    <w:tblStylePr w:type="band1Vert">
      <w:rPr>
        <w:rFonts w:ascii="Arial" w:hAnsi="Arial"/>
        <w:color w:val="404040"/>
        <w:sz w:val="22"/>
      </w:rPr>
      <w:pPr>
        <w:pBdr/>
        <w:spacing/>
        <w:ind/>
      </w:pPr>
      <w:tblPr>
        <w:tblBorders/>
      </w:tblPr>
      <w:tcPr>
        <w:tcBorders>
          <w:left w:val="single" w:color="000000" w:themeColor="text1" w:sz="4" w:space="0"/>
          <w:right w:val="single" w:color="000000" w:themeColor="text1"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text1" w:fill="000000" w:themeFill="tex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9">
    <w:name w:val="List Table 3 - Accent 1"/>
    <w:basedOn w:val="32"/>
    <w:uiPriority w:val="99"/>
    <w:pPr>
      <w:pBdr/>
      <w:spacing w:after="0" w:line="240" w:lineRule="auto"/>
      <w:ind/>
    </w:pPr>
    <w:tblPr>
      <w:tblStyleRowBandSize w:val="1"/>
      <w:tblStyleColBandSize w:val="1"/>
      <w:tblInd w:w="0" w:type="dxa"/>
      <w:tblBorders>
        <w:top w:val="single" w:color="000000" w:themeColor="accent1" w:sz="4" w:space="0"/>
        <w:left w:val="single" w:color="000000" w:themeColor="accent1" w:sz="4" w:space="0"/>
        <w:bottom w:val="single" w:color="000000" w:themeColor="accent1" w:sz="4" w:space="0"/>
        <w:right w:val="single" w:color="000000" w:themeColor="accent1" w:sz="4" w:space="0"/>
      </w:tblBorders>
    </w:tblPr>
    <w:tcPr>
      <w:tcBorders/>
    </w:tcPr>
    <w:tblStylePr w:type="band1Horz">
      <w:rPr>
        <w:rFonts w:ascii="Arial" w:hAnsi="Arial"/>
        <w:color w:val="404040"/>
        <w:sz w:val="22"/>
      </w:rPr>
      <w:pPr>
        <w:pBdr/>
        <w:spacing/>
        <w:ind/>
      </w:pPr>
      <w:tblPr>
        <w:tblBorders/>
      </w:tblPr>
      <w:tcPr>
        <w:tcBorders>
          <w:top w:val="single" w:color="000000" w:themeColor="accent1" w:sz="4" w:space="0"/>
          <w:bottom w:val="single" w:color="000000" w:themeColor="accent1" w:sz="4" w:space="0"/>
        </w:tcBorders>
      </w:tcPr>
    </w:tblStylePr>
    <w:tblStylePr w:type="band1Vert">
      <w:rPr>
        <w:rFonts w:ascii="Arial" w:hAnsi="Arial"/>
        <w:color w:val="404040"/>
        <w:sz w:val="22"/>
      </w:rPr>
      <w:pPr>
        <w:pBdr/>
        <w:spacing/>
        <w:ind/>
      </w:pPr>
      <w:tblPr>
        <w:tblBorders/>
      </w:tblPr>
      <w:tcPr>
        <w:tcBorders>
          <w:left w:val="single" w:color="000000" w:themeColor="accent1" w:sz="4" w:space="0"/>
          <w:right w:val="single" w:color="000000" w:themeColor="accent1"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fill="4f81bd" w:themeFill="accen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0">
    <w:name w:val="List Table 3 - Accent 2"/>
    <w:basedOn w:val="32"/>
    <w:uiPriority w:val="99"/>
    <w:pPr>
      <w:pBdr/>
      <w:spacing w:after="0" w:line="240" w:lineRule="auto"/>
      <w:ind/>
    </w:pPr>
    <w:tblPr>
      <w:tblStyleRowBandSize w:val="1"/>
      <w:tblStyleColBandSize w:val="1"/>
      <w:tblInd w:w="0" w:type="dxa"/>
      <w:tbl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97" w:sz="4" w:space="0"/>
          <w:bottom w:val="single" w:color="000000" w:themeColor="accent2" w:themeTint="97" w:sz="4" w:space="0"/>
        </w:tcBorders>
      </w:tcPr>
    </w:tblStylePr>
    <w:tblStylePr w:type="band1Vert">
      <w:rPr>
        <w:rFonts w:ascii="Arial" w:hAnsi="Arial"/>
        <w:color w:val="404040"/>
        <w:sz w:val="22"/>
      </w:rPr>
      <w:pPr>
        <w:pBdr/>
        <w:spacing/>
        <w:ind/>
      </w:pPr>
      <w:tblPr>
        <w:tblBorders/>
      </w:tblPr>
      <w:tcPr>
        <w:tcBorders>
          <w:left w:val="single" w:color="000000" w:themeColor="accent2" w:themeTint="97" w:sz="4" w:space="0"/>
          <w:right w:val="single" w:color="000000" w:themeColor="accent2" w:themeTint="97"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themeTint="97" w:fill="d99694" w:themeFill="accent2" w:themeFillTint="97"/>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1">
    <w:name w:val="List Table 3 - Accent 3"/>
    <w:basedOn w:val="32"/>
    <w:uiPriority w:val="99"/>
    <w:pPr>
      <w:pBdr/>
      <w:spacing w:after="0" w:line="240" w:lineRule="auto"/>
      <w:ind/>
    </w:pPr>
    <w:tblPr>
      <w:tblStyleRowBandSize w:val="1"/>
      <w:tblStyleColBandSize w:val="1"/>
      <w:tblInd w:w="0" w:type="dxa"/>
      <w:tblBorders>
        <w:top w:val="single" w:color="000000" w:themeColor="accent3" w:themeTint="98" w:sz="4" w:space="0"/>
        <w:left w:val="single" w:color="000000" w:themeColor="accent3" w:themeTint="98" w:sz="4" w:space="0"/>
        <w:bottom w:val="single" w:color="000000" w:themeColor="accent3" w:themeTint="98" w:sz="4" w:space="0"/>
        <w:right w:val="single" w:color="000000" w:themeColor="accent3" w:themeTint="98"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98" w:sz="4" w:space="0"/>
          <w:bottom w:val="single" w:color="000000" w:themeColor="accent3" w:themeTint="98" w:sz="4" w:space="0"/>
        </w:tcBorders>
      </w:tcPr>
    </w:tblStylePr>
    <w:tblStylePr w:type="band1Vert">
      <w:rPr>
        <w:rFonts w:ascii="Arial" w:hAnsi="Arial"/>
        <w:color w:val="404040"/>
        <w:sz w:val="22"/>
      </w:rPr>
      <w:pPr>
        <w:pBdr/>
        <w:spacing/>
        <w:ind/>
      </w:pPr>
      <w:tblPr>
        <w:tblBorders/>
      </w:tblPr>
      <w:tcPr>
        <w:tcBorders>
          <w:left w:val="single" w:color="000000" w:themeColor="accent3" w:themeTint="98" w:sz="4" w:space="0"/>
          <w:right w:val="single" w:color="000000" w:themeColor="accent3" w:themeTint="98"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themeTint="98" w:fill="c3d69b" w:themeFill="accent3" w:themeFillTint="98"/>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2">
    <w:name w:val="List Table 3 - Accent 4"/>
    <w:basedOn w:val="32"/>
    <w:uiPriority w:val="99"/>
    <w:pPr>
      <w:pBdr/>
      <w:spacing w:after="0" w:line="240" w:lineRule="auto"/>
      <w:ind/>
    </w:pPr>
    <w:tblPr>
      <w:tblStyleRowBandSize w:val="1"/>
      <w:tblStyleColBandSize w:val="1"/>
      <w:tblInd w:w="0" w:type="dxa"/>
      <w:tbl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9A" w:sz="4" w:space="0"/>
          <w:bottom w:val="single" w:color="000000" w:themeColor="accent4" w:themeTint="9A" w:sz="4" w:space="0"/>
        </w:tcBorders>
      </w:tcPr>
    </w:tblStylePr>
    <w:tblStylePr w:type="band1Vert">
      <w:rPr>
        <w:rFonts w:ascii="Arial" w:hAnsi="Arial"/>
        <w:color w:val="404040"/>
        <w:sz w:val="22"/>
      </w:rPr>
      <w:pPr>
        <w:pBdr/>
        <w:spacing/>
        <w:ind/>
      </w:pPr>
      <w:tblPr>
        <w:tblBorders/>
      </w:tblPr>
      <w:tcPr>
        <w:tcBorders>
          <w:left w:val="single" w:color="000000" w:themeColor="accent4" w:themeTint="9A" w:sz="4" w:space="0"/>
          <w:right w:val="single" w:color="000000" w:themeColor="accent4" w:themeTint="9A"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themeTint="9A" w:fill="b2a1c6" w:themeFill="accent4" w:themeFillTint="9A"/>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3">
    <w:name w:val="List Table 3 - Accent 5"/>
    <w:basedOn w:val="32"/>
    <w:uiPriority w:val="99"/>
    <w:pPr>
      <w:pBdr/>
      <w:spacing w:after="0" w:line="240" w:lineRule="auto"/>
      <w:ind/>
    </w:pPr>
    <w:tblPr>
      <w:tblStyleRowBandSize w:val="1"/>
      <w:tblStyleColBandSize w:val="1"/>
      <w:tblInd w:w="0" w:type="dxa"/>
      <w:tblBorders>
        <w:top w:val="single" w:color="000000" w:themeColor="accent5" w:themeTint="9A" w:sz="4" w:space="0"/>
        <w:left w:val="single" w:color="000000" w:themeColor="accent5" w:themeTint="9A" w:sz="4" w:space="0"/>
        <w:bottom w:val="single" w:color="000000" w:themeColor="accent5" w:themeTint="9A" w:sz="4" w:space="0"/>
        <w:right w:val="single" w:color="000000" w:themeColor="accent5" w:themeTint="9A"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9A" w:sz="4" w:space="0"/>
          <w:bottom w:val="single" w:color="000000" w:themeColor="accent5" w:themeTint="9A" w:sz="4" w:space="0"/>
        </w:tcBorders>
      </w:tcPr>
    </w:tblStylePr>
    <w:tblStylePr w:type="band1Vert">
      <w:rPr>
        <w:rFonts w:ascii="Arial" w:hAnsi="Arial"/>
        <w:color w:val="404040"/>
        <w:sz w:val="22"/>
      </w:rPr>
      <w:pPr>
        <w:pBdr/>
        <w:spacing/>
        <w:ind/>
      </w:pPr>
      <w:tblPr>
        <w:tblBorders/>
      </w:tblPr>
      <w:tcPr>
        <w:tcBorders>
          <w:left w:val="single" w:color="000000" w:themeColor="accent5" w:themeTint="9A" w:sz="4" w:space="0"/>
          <w:right w:val="single" w:color="000000" w:themeColor="accent5" w:themeTint="9A"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themeTint="9A" w:fill="91cddc" w:themeFill="accent5" w:themeFillTint="9A"/>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4">
    <w:name w:val="List Table 3 - Accent 6"/>
    <w:basedOn w:val="32"/>
    <w:uiPriority w:val="99"/>
    <w:pPr>
      <w:pBdr/>
      <w:spacing w:after="0" w:line="240" w:lineRule="auto"/>
      <w:ind/>
    </w:pPr>
    <w:tblPr>
      <w:tblStyleRowBandSize w:val="1"/>
      <w:tblStyleColBandSize w:val="1"/>
      <w:tblInd w:w="0" w:type="dxa"/>
      <w:tblBorders>
        <w:top w:val="single" w:color="000000" w:themeColor="accent6" w:themeTint="98" w:sz="4" w:space="0"/>
        <w:left w:val="single" w:color="000000" w:themeColor="accent6" w:themeTint="98" w:sz="4" w:space="0"/>
        <w:bottom w:val="single" w:color="000000" w:themeColor="accent6" w:themeTint="98" w:sz="4" w:space="0"/>
        <w:right w:val="single" w:color="000000" w:themeColor="accent6" w:themeTint="98"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98" w:sz="4" w:space="0"/>
          <w:bottom w:val="single" w:color="000000" w:themeColor="accent6" w:themeTint="98" w:sz="4" w:space="0"/>
        </w:tcBorders>
      </w:tcPr>
    </w:tblStylePr>
    <w:tblStylePr w:type="band1Vert">
      <w:rPr>
        <w:rFonts w:ascii="Arial" w:hAnsi="Arial"/>
        <w:color w:val="404040"/>
        <w:sz w:val="22"/>
      </w:rPr>
      <w:pPr>
        <w:pBdr/>
        <w:spacing/>
        <w:ind/>
      </w:pPr>
      <w:tblPr>
        <w:tblBorders/>
      </w:tblPr>
      <w:tcPr>
        <w:tcBorders>
          <w:left w:val="single" w:color="000000" w:themeColor="accent6" w:themeTint="98" w:sz="4" w:space="0"/>
          <w:right w:val="single" w:color="000000" w:themeColor="accent6" w:themeTint="98"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themeTint="98" w:fill="f9bf90" w:themeFill="accent6" w:themeFillTint="98"/>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5">
    <w:name w:val="List Table 4"/>
    <w:basedOn w:val="32"/>
    <w:uiPriority w:val="99"/>
    <w:pPr>
      <w:pBdr/>
      <w:spacing w:after="0" w:line="240" w:lineRule="auto"/>
      <w:ind/>
    </w:pPr>
    <w:tblPr>
      <w:tblStyleRowBandSize w:val="1"/>
      <w:tblStyleColBandSize w:val="1"/>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tblBorders>
    </w:tblPr>
    <w:tcPr>
      <w:tcBorders/>
    </w:tcPr>
    <w:tblStylePr w:type="band1Horz">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1Vert">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text1" w:fill="000000" w:themeFill="tex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6">
    <w:name w:val="List Table 4 - Accent 1"/>
    <w:basedOn w:val="32"/>
    <w:uiPriority w:val="99"/>
    <w:pPr>
      <w:pBdr/>
      <w:spacing w:after="0" w:line="240" w:lineRule="auto"/>
      <w:ind/>
    </w:pPr>
    <w:tblPr>
      <w:tblStyleRowBandSize w:val="1"/>
      <w:tblStyleColBandSize w:val="1"/>
      <w:tblInd w:w="0" w:type="dxa"/>
      <w:tblBorders>
        <w:top w:val="single" w:color="000000" w:themeColor="accent1" w:themeTint="90" w:sz="4" w:space="0"/>
        <w:left w:val="single" w:color="000000" w:themeColor="accent1" w:themeTint="90" w:sz="4" w:space="0"/>
        <w:bottom w:val="single" w:color="000000" w:themeColor="accent1" w:themeTint="90" w:sz="4" w:space="0"/>
        <w:right w:val="single" w:color="000000" w:themeColor="accent1" w:themeTint="90" w:sz="4" w:space="0"/>
        <w:insideH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40" w:fill="d3e0ee" w:themeFill="accent1" w:themeFillTint="40"/>
        <w:tcBorders/>
      </w:tcPr>
    </w:tblStylePr>
    <w:tblStylePr w:type="band1Vert">
      <w:rPr>
        <w:rFonts w:ascii="Arial" w:hAnsi="Arial"/>
        <w:color w:val="404040"/>
        <w:sz w:val="22"/>
      </w:rPr>
      <w:pPr>
        <w:pBdr/>
        <w:spacing/>
        <w:ind/>
      </w:pPr>
      <w:tblPr>
        <w:tblBorders/>
      </w:tblPr>
      <w:tcPr>
        <w:shd w:val="clear" w:color="ffffff" w:themeColor="accent1" w:themeTint="40" w:fill="d3e0ee"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fill="4f81bd" w:themeFill="accen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7">
    <w:name w:val="List Table 4 - Accent 2"/>
    <w:basedOn w:val="32"/>
    <w:uiPriority w:val="99"/>
    <w:pPr>
      <w:pBdr/>
      <w:spacing w:after="0" w:line="240" w:lineRule="auto"/>
      <w:ind/>
    </w:pPr>
    <w:tblPr>
      <w:tblStyleRowBandSize w:val="1"/>
      <w:tblStyleColBandSize w:val="1"/>
      <w:tblInd w:w="0" w:type="dxa"/>
      <w:tblBorders>
        <w:top w:val="single" w:color="000000" w:themeColor="accent2" w:themeTint="90" w:sz="4" w:space="0"/>
        <w:left w:val="single" w:color="000000" w:themeColor="accent2" w:themeTint="90" w:sz="4" w:space="0"/>
        <w:bottom w:val="single" w:color="000000" w:themeColor="accent2" w:themeTint="90" w:sz="4" w:space="0"/>
        <w:right w:val="single" w:color="000000" w:themeColor="accent2" w:themeTint="90" w:sz="4" w:space="0"/>
        <w:insideH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40" w:fill="efd3d2" w:themeFill="accent2" w:themeFillTint="40"/>
        <w:tcBorders/>
      </w:tcPr>
    </w:tblStylePr>
    <w:tblStylePr w:type="band1Vert">
      <w:rPr>
        <w:rFonts w:ascii="Arial" w:hAnsi="Arial"/>
        <w:color w:val="404040"/>
        <w:sz w:val="22"/>
      </w:rPr>
      <w:pPr>
        <w:pBdr/>
        <w:spacing/>
        <w:ind/>
      </w:pPr>
      <w:tblPr>
        <w:tblBorders/>
      </w:tblPr>
      <w:tcPr>
        <w:shd w:val="clear" w:color="ffffff" w:themeColor="accent2" w:themeTint="40" w:fill="efd3d2"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fill="c0504d" w:themeFill="accent2"/>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8">
    <w:name w:val="List Table 4 - Accent 3"/>
    <w:basedOn w:val="32"/>
    <w:uiPriority w:val="99"/>
    <w:pPr>
      <w:pBdr/>
      <w:spacing w:after="0" w:line="240" w:lineRule="auto"/>
      <w:ind/>
    </w:pPr>
    <w:tblPr>
      <w:tblStyleRowBandSize w:val="1"/>
      <w:tblStyleColBandSize w:val="1"/>
      <w:tblInd w:w="0" w:type="dxa"/>
      <w:tblBorders>
        <w:top w:val="single" w:color="000000" w:themeColor="accent3" w:themeTint="90" w:sz="4" w:space="0"/>
        <w:left w:val="single" w:color="000000" w:themeColor="accent3" w:themeTint="90" w:sz="4" w:space="0"/>
        <w:bottom w:val="single" w:color="000000" w:themeColor="accent3" w:themeTint="90" w:sz="4" w:space="0"/>
        <w:right w:val="single" w:color="000000" w:themeColor="accent3" w:themeTint="90" w:sz="4" w:space="0"/>
        <w:insideH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40" w:fill="e6eed5" w:themeFill="accent3" w:themeFillTint="40"/>
        <w:tcBorders/>
      </w:tcPr>
    </w:tblStylePr>
    <w:tblStylePr w:type="band1Vert">
      <w:rPr>
        <w:rFonts w:ascii="Arial" w:hAnsi="Arial"/>
        <w:color w:val="404040"/>
        <w:sz w:val="22"/>
      </w:rPr>
      <w:pPr>
        <w:pBdr/>
        <w:spacing/>
        <w:ind/>
      </w:pPr>
      <w:tblPr>
        <w:tblBorders/>
      </w:tblPr>
      <w:tcPr>
        <w:shd w:val="clear" w:color="ffffff" w:themeColor="accent3" w:themeTint="40" w:fill="e6eed5"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fill="9bbb59" w:themeFill="accent3"/>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9">
    <w:name w:val="List Table 4 - Accent 4"/>
    <w:basedOn w:val="32"/>
    <w:uiPriority w:val="99"/>
    <w:pPr>
      <w:pBdr/>
      <w:spacing w:after="0" w:line="240" w:lineRule="auto"/>
      <w:ind/>
    </w:pPr>
    <w:tblPr>
      <w:tblStyleRowBandSize w:val="1"/>
      <w:tblStyleColBandSize w:val="1"/>
      <w:tblInd w:w="0" w:type="dxa"/>
      <w:tblBorders>
        <w:top w:val="single" w:color="000000" w:themeColor="accent4" w:themeTint="90" w:sz="4" w:space="0"/>
        <w:left w:val="single" w:color="000000" w:themeColor="accent4" w:themeTint="90" w:sz="4" w:space="0"/>
        <w:bottom w:val="single" w:color="000000" w:themeColor="accent4" w:themeTint="90" w:sz="4" w:space="0"/>
        <w:right w:val="single" w:color="000000" w:themeColor="accent4" w:themeTint="90" w:sz="4" w:space="0"/>
        <w:insideH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40" w:fill="dfd8e7" w:themeFill="accent4" w:themeFillTint="40"/>
        <w:tcBorders/>
      </w:tcPr>
    </w:tblStylePr>
    <w:tblStylePr w:type="band1Vert">
      <w:rPr>
        <w:rFonts w:ascii="Arial" w:hAnsi="Arial"/>
        <w:color w:val="404040"/>
        <w:sz w:val="22"/>
      </w:rPr>
      <w:pPr>
        <w:pBdr/>
        <w:spacing/>
        <w:ind/>
      </w:pPr>
      <w:tblPr>
        <w:tblBorders/>
      </w:tblPr>
      <w:tcPr>
        <w:shd w:val="clear" w:color="ffffff" w:themeColor="accent4" w:themeTint="40" w:fill="dfd8e7"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fill="8064a2" w:themeFill="accent4"/>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0">
    <w:name w:val="List Table 4 - Accent 5"/>
    <w:basedOn w:val="32"/>
    <w:uiPriority w:val="99"/>
    <w:pPr>
      <w:pBdr/>
      <w:spacing w:after="0" w:line="240" w:lineRule="auto"/>
      <w:ind/>
    </w:pPr>
    <w:tblPr>
      <w:tblStyleRowBandSize w:val="1"/>
      <w:tblStyleColBandSize w:val="1"/>
      <w:tblInd w:w="0" w:type="dxa"/>
      <w:tblBorders>
        <w:top w:val="single" w:color="000000" w:themeColor="accent5" w:themeTint="90" w:sz="4" w:space="0"/>
        <w:left w:val="single" w:color="000000" w:themeColor="accent5" w:themeTint="90" w:sz="4" w:space="0"/>
        <w:bottom w:val="single" w:color="000000" w:themeColor="accent5" w:themeTint="90" w:sz="4" w:space="0"/>
        <w:right w:val="single" w:color="000000" w:themeColor="accent5" w:themeTint="90" w:sz="4" w:space="0"/>
        <w:insideH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40" w:fill="d1eaf0" w:themeFill="accent5" w:themeFillTint="40"/>
        <w:tcBorders/>
      </w:tcPr>
    </w:tblStylePr>
    <w:tblStylePr w:type="band1Vert">
      <w:rPr>
        <w:rFonts w:ascii="Arial" w:hAnsi="Arial"/>
        <w:color w:val="404040"/>
        <w:sz w:val="22"/>
      </w:rPr>
      <w:pPr>
        <w:pBdr/>
        <w:spacing/>
        <w:ind/>
      </w:pPr>
      <w:tblPr>
        <w:tblBorders/>
      </w:tblPr>
      <w:tcPr>
        <w:shd w:val="clear" w:color="ffffff" w:themeColor="accent5" w:themeTint="40" w:fill="d1eaf0"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fill="4bacc6" w:themeFill="accent5"/>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1">
    <w:name w:val="List Table 4 - Accent 6"/>
    <w:basedOn w:val="32"/>
    <w:uiPriority w:val="99"/>
    <w:pPr>
      <w:pBdr/>
      <w:spacing w:after="0" w:line="240" w:lineRule="auto"/>
      <w:ind/>
    </w:pPr>
    <w:tblPr>
      <w:tblStyleRowBandSize w:val="1"/>
      <w:tblStyleColBandSize w:val="1"/>
      <w:tblInd w:w="0" w:type="dxa"/>
      <w:tblBorders>
        <w:top w:val="single" w:color="000000" w:themeColor="accent6" w:themeTint="90" w:sz="4" w:space="0"/>
        <w:left w:val="single" w:color="000000" w:themeColor="accent6" w:themeTint="90" w:sz="4" w:space="0"/>
        <w:bottom w:val="single" w:color="000000" w:themeColor="accent6" w:themeTint="90" w:sz="4" w:space="0"/>
        <w:right w:val="single" w:color="000000" w:themeColor="accent6" w:themeTint="90" w:sz="4" w:space="0"/>
        <w:insideH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40" w:fill="fce4d1" w:themeFill="accent6" w:themeFillTint="40"/>
        <w:tcBorders/>
      </w:tcPr>
    </w:tblStylePr>
    <w:tblStylePr w:type="band1Vert">
      <w:rPr>
        <w:rFonts w:ascii="Arial" w:hAnsi="Arial"/>
        <w:color w:val="404040"/>
        <w:sz w:val="22"/>
      </w:rPr>
      <w:pPr>
        <w:pBdr/>
        <w:spacing/>
        <w:ind/>
      </w:pPr>
      <w:tblPr>
        <w:tblBorders/>
      </w:tblPr>
      <w:tcPr>
        <w:shd w:val="clear" w:color="ffffff" w:themeColor="accent6" w:themeTint="40" w:fill="fce4d1"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fill="f79646" w:themeFill="accent6"/>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2">
    <w:name w:val="List Table 5 Dark"/>
    <w:basedOn w:val="32"/>
    <w:uiPriority w:val="99"/>
    <w:pPr>
      <w:pBdr/>
      <w:spacing w:after="0" w:line="240" w:lineRule="auto"/>
      <w:ind/>
    </w:pPr>
    <w:tblPr>
      <w:tblStyleRowBandSize w:val="1"/>
      <w:tblStyleColBandSize w:val="1"/>
      <w:tblInd w:w="0" w:type="dxa"/>
      <w:tblBorders>
        <w:top w:val="single" w:color="000000" w:themeColor="text1" w:themeTint="80" w:sz="32" w:space="0"/>
        <w:left w:val="single" w:color="000000" w:themeColor="text1" w:themeTint="80" w:sz="32" w:space="0"/>
        <w:bottom w:val="single" w:color="000000" w:themeColor="text1" w:themeTint="80" w:sz="32" w:space="0"/>
        <w:right w:val="single" w:color="000000" w:themeColor="text1" w:themeTint="80" w:sz="32" w:space="0"/>
      </w:tblBorders>
      <w:shd w:val="clear" w:color="ffffff" w:themeColor="text1" w:themeTint="80" w:fill="7f7f7f" w:themeFill="text1" w:themeFillTint="80"/>
    </w:tblPr>
    <w:tcPr>
      <w:tcBorders/>
    </w:tcPr>
    <w:tblStylePr w:type="band1Horz">
      <w:pPr>
        <w:pBdr/>
        <w:spacing/>
        <w:ind/>
      </w:pPr>
      <w:tblPr>
        <w:tblBorders/>
      </w:tblPr>
      <w:tcPr>
        <w:shd w:val="clear" w:color="ffffff" w:themeColor="text1" w:themeTint="80" w:fill="7f7f7f" w:themeFill="text1" w:themeFillTint="80"/>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text1" w:themeTint="80" w:fill="7f7f7f" w:themeFill="text1" w:themeFillTint="80"/>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text1" w:themeTint="80" w:fill="7f7f7f" w:themeFill="text1" w:themeFillTint="80"/>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text1" w:themeTint="80"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text1" w:themeTint="80" w:fill="7f7f7f" w:themeFill="text1" w:themeFillTint="80"/>
        <w:tcBorders>
          <w:top w:val="single" w:color="000000" w:themeColor="text1" w:themeTint="80"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text1" w:themeTint="80"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33">
    <w:name w:val="List Table 5 Dark - Accent 1"/>
    <w:basedOn w:val="32"/>
    <w:uiPriority w:val="99"/>
    <w:pPr>
      <w:pBdr/>
      <w:spacing w:after="0" w:line="240" w:lineRule="auto"/>
      <w:ind/>
    </w:pPr>
    <w:tblPr>
      <w:tblStyleRowBandSize w:val="1"/>
      <w:tblStyleColBandSize w:val="1"/>
      <w:tblInd w:w="0" w:type="dxa"/>
      <w:tblBorders>
        <w:top w:val="single" w:color="000000" w:themeColor="accent1" w:sz="32" w:space="0"/>
        <w:left w:val="single" w:color="000000" w:themeColor="accent1" w:sz="32" w:space="0"/>
        <w:bottom w:val="single" w:color="000000" w:themeColor="accent1" w:sz="32" w:space="0"/>
        <w:right w:val="single" w:color="000000" w:themeColor="accent1" w:sz="32" w:space="0"/>
      </w:tblBorders>
      <w:shd w:val="clear" w:color="ffffff" w:themeColor="accent1" w:fill="4f81bd" w:themeFill="accent1"/>
    </w:tblPr>
    <w:tcPr>
      <w:tcBorders/>
    </w:tcPr>
    <w:tblStylePr w:type="band1Horz">
      <w:pPr>
        <w:pBdr/>
        <w:spacing/>
        <w:ind/>
      </w:pPr>
      <w:tblPr>
        <w:tblBorders/>
      </w:tblPr>
      <w:tcPr>
        <w:shd w:val="clear" w:color="ffffff" w:themeColor="accent1" w:fill="4f81bd" w:themeFill="accent1"/>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1" w:fill="4f81bd" w:themeFill="accent1"/>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1" w:fill="4f81bd" w:themeFill="accent1"/>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1"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1" w:fill="4f81bd" w:themeFill="accent1"/>
        <w:tcBorders>
          <w:top w:val="single" w:color="000000" w:themeColor="accent1"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1"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34">
    <w:name w:val="List Table 5 Dark - Accent 2"/>
    <w:basedOn w:val="32"/>
    <w:uiPriority w:val="99"/>
    <w:pPr>
      <w:pBdr/>
      <w:spacing w:after="0" w:line="240" w:lineRule="auto"/>
      <w:ind/>
    </w:pPr>
    <w:tblPr>
      <w:tblStyleRowBandSize w:val="1"/>
      <w:tblStyleColBandSize w:val="1"/>
      <w:tblInd w:w="0" w:type="dxa"/>
      <w:tblBorders>
        <w:top w:val="single" w:color="000000" w:themeColor="accent2" w:themeTint="97" w:sz="32" w:space="0"/>
        <w:left w:val="single" w:color="000000" w:themeColor="accent2" w:themeTint="97" w:sz="32" w:space="0"/>
        <w:bottom w:val="single" w:color="000000" w:themeColor="accent2" w:themeTint="97" w:sz="32" w:space="0"/>
        <w:right w:val="single" w:color="000000" w:themeColor="accent2" w:themeTint="97" w:sz="32" w:space="0"/>
      </w:tblBorders>
      <w:shd w:val="clear" w:color="ffffff" w:themeColor="accent2" w:themeTint="97" w:fill="d99694" w:themeFill="accent2" w:themeFillTint="97"/>
    </w:tblPr>
    <w:tcPr>
      <w:tcBorders/>
    </w:tcPr>
    <w:tblStylePr w:type="band1Horz">
      <w:pPr>
        <w:pBdr/>
        <w:spacing/>
        <w:ind/>
      </w:pPr>
      <w:tblPr>
        <w:tblBorders/>
      </w:tblPr>
      <w:tcPr>
        <w:shd w:val="clear" w:color="ffffff" w:themeColor="accent2" w:themeTint="97" w:fill="d99694" w:themeFill="accent2" w:themeFillTint="97"/>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2" w:themeTint="97" w:fill="d99694" w:themeFill="accent2" w:themeFillTint="97"/>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2" w:themeTint="97" w:fill="d99694" w:themeFill="accent2" w:themeFillTint="97"/>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2" w:themeTint="97"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2" w:themeTint="97" w:fill="d99694" w:themeFill="accent2" w:themeFillTint="97"/>
        <w:tcBorders>
          <w:top w:val="single" w:color="000000" w:themeColor="accent2" w:themeTint="97"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2" w:themeTint="97"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35">
    <w:name w:val="List Table 5 Dark - Accent 3"/>
    <w:basedOn w:val="32"/>
    <w:uiPriority w:val="99"/>
    <w:pPr>
      <w:pBdr/>
      <w:spacing w:after="0" w:line="240" w:lineRule="auto"/>
      <w:ind/>
    </w:pPr>
    <w:tblPr>
      <w:tblStyleRowBandSize w:val="1"/>
      <w:tblStyleColBandSize w:val="1"/>
      <w:tblInd w:w="0" w:type="dxa"/>
      <w:tblBorders>
        <w:top w:val="single" w:color="000000" w:themeColor="accent3" w:themeTint="98" w:sz="32" w:space="0"/>
        <w:left w:val="single" w:color="000000" w:themeColor="accent3" w:themeTint="98" w:sz="32" w:space="0"/>
        <w:bottom w:val="single" w:color="000000" w:themeColor="accent3" w:themeTint="98" w:sz="32" w:space="0"/>
        <w:right w:val="single" w:color="000000" w:themeColor="accent3" w:themeTint="98" w:sz="32" w:space="0"/>
      </w:tblBorders>
      <w:shd w:val="clear" w:color="ffffff" w:themeColor="accent3" w:themeTint="98" w:fill="c3d69b" w:themeFill="accent3" w:themeFillTint="98"/>
    </w:tblPr>
    <w:tcPr>
      <w:tcBorders/>
    </w:tcPr>
    <w:tblStylePr w:type="band1Horz">
      <w:pPr>
        <w:pBdr/>
        <w:spacing/>
        <w:ind/>
      </w:pPr>
      <w:tblPr>
        <w:tblBorders/>
      </w:tblPr>
      <w:tcPr>
        <w:shd w:val="clear" w:color="ffffff" w:themeColor="accent3" w:themeTint="98" w:fill="c3d69b" w:themeFill="accent3" w:themeFillTint="98"/>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3" w:themeTint="98" w:fill="c3d69b" w:themeFill="accent3" w:themeFillTint="98"/>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3" w:themeTint="98" w:fill="c3d69b" w:themeFill="accent3" w:themeFillTint="98"/>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3" w:themeTint="98"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3" w:themeTint="98" w:fill="c3d69b" w:themeFill="accent3" w:themeFillTint="98"/>
        <w:tcBorders>
          <w:top w:val="single" w:color="000000" w:themeColor="accent3" w:themeTint="98"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3" w:themeTint="98"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36">
    <w:name w:val="List Table 5 Dark - Accent 4"/>
    <w:basedOn w:val="32"/>
    <w:uiPriority w:val="99"/>
    <w:pPr>
      <w:pBdr/>
      <w:spacing w:after="0" w:line="240" w:lineRule="auto"/>
      <w:ind/>
    </w:pPr>
    <w:tblPr>
      <w:tblStyleRowBandSize w:val="1"/>
      <w:tblStyleColBandSize w:val="1"/>
      <w:tblInd w:w="0" w:type="dxa"/>
      <w:tblBorders>
        <w:top w:val="single" w:color="000000" w:themeColor="accent4" w:themeTint="9A" w:sz="32" w:space="0"/>
        <w:left w:val="single" w:color="000000" w:themeColor="accent4" w:themeTint="9A" w:sz="32" w:space="0"/>
        <w:bottom w:val="single" w:color="000000" w:themeColor="accent4" w:themeTint="9A" w:sz="32" w:space="0"/>
        <w:right w:val="single" w:color="000000" w:themeColor="accent4" w:themeTint="9A" w:sz="32" w:space="0"/>
      </w:tblBorders>
      <w:shd w:val="clear" w:color="ffffff" w:themeColor="accent4" w:themeTint="9A" w:fill="b2a1c6" w:themeFill="accent4" w:themeFillTint="9A"/>
    </w:tblPr>
    <w:tcPr>
      <w:tcBorders/>
    </w:tcPr>
    <w:tblStylePr w:type="band1Horz">
      <w:pPr>
        <w:pBdr/>
        <w:spacing/>
        <w:ind/>
      </w:pPr>
      <w:tblPr>
        <w:tblBorders/>
      </w:tblPr>
      <w:tcPr>
        <w:shd w:val="clear" w:color="ffffff" w:themeColor="accent4" w:themeTint="9A" w:fill="b2a1c6" w:themeFill="accent4" w:themeFillTint="9A"/>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4" w:themeTint="9A" w:fill="b2a1c6" w:themeFill="accent4" w:themeFillTint="9A"/>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4" w:themeTint="9A" w:fill="b2a1c6" w:themeFill="accent4" w:themeFillTint="9A"/>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4" w:themeTint="9A"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4" w:themeTint="9A" w:fill="b2a1c6" w:themeFill="accent4" w:themeFillTint="9A"/>
        <w:tcBorders>
          <w:top w:val="single" w:color="000000" w:themeColor="accent4" w:themeTint="9A"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4" w:themeTint="9A"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37">
    <w:name w:val="List Table 5 Dark - Accent 5"/>
    <w:basedOn w:val="32"/>
    <w:uiPriority w:val="99"/>
    <w:pPr>
      <w:pBdr/>
      <w:spacing w:after="0" w:line="240" w:lineRule="auto"/>
      <w:ind/>
    </w:pPr>
    <w:tblPr>
      <w:tblStyleRowBandSize w:val="1"/>
      <w:tblStyleColBandSize w:val="1"/>
      <w:tblInd w:w="0" w:type="dxa"/>
      <w:tblBorders>
        <w:top w:val="single" w:color="000000" w:themeColor="accent5" w:themeTint="9A" w:sz="32" w:space="0"/>
        <w:left w:val="single" w:color="000000" w:themeColor="accent5" w:themeTint="9A" w:sz="32" w:space="0"/>
        <w:bottom w:val="single" w:color="000000" w:themeColor="accent5" w:themeTint="9A" w:sz="32" w:space="0"/>
        <w:right w:val="single" w:color="000000" w:themeColor="accent5" w:themeTint="9A" w:sz="32" w:space="0"/>
      </w:tblBorders>
      <w:shd w:val="clear" w:color="ffffff" w:themeColor="accent5" w:themeTint="9A" w:fill="91cddc" w:themeFill="accent5" w:themeFillTint="9A"/>
    </w:tblPr>
    <w:tcPr>
      <w:tcBorders/>
    </w:tcPr>
    <w:tblStylePr w:type="band1Horz">
      <w:pPr>
        <w:pBdr/>
        <w:spacing/>
        <w:ind/>
      </w:pPr>
      <w:tblPr>
        <w:tblBorders/>
      </w:tblPr>
      <w:tcPr>
        <w:shd w:val="clear" w:color="ffffff" w:themeColor="accent5" w:themeTint="9A" w:fill="91cddc" w:themeFill="accent5" w:themeFillTint="9A"/>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5" w:themeTint="9A" w:fill="91cddc" w:themeFill="accent5" w:themeFillTint="9A"/>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5" w:themeTint="9A" w:fill="91cddc" w:themeFill="accent5" w:themeFillTint="9A"/>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5" w:themeTint="9A"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5" w:themeTint="9A" w:fill="91cddc" w:themeFill="accent5" w:themeFillTint="9A"/>
        <w:tcBorders>
          <w:top w:val="single" w:color="000000" w:themeColor="accent5" w:themeTint="9A"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5" w:themeTint="9A"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38">
    <w:name w:val="List Table 5 Dark - Accent 6"/>
    <w:basedOn w:val="32"/>
    <w:uiPriority w:val="99"/>
    <w:pPr>
      <w:pBdr/>
      <w:spacing w:after="0" w:line="240" w:lineRule="auto"/>
      <w:ind/>
    </w:pPr>
    <w:tblPr>
      <w:tblStyleRowBandSize w:val="1"/>
      <w:tblStyleColBandSize w:val="1"/>
      <w:tblInd w:w="0" w:type="dxa"/>
      <w:tblBorders>
        <w:top w:val="single" w:color="000000" w:themeColor="accent6" w:themeTint="98" w:sz="32" w:space="0"/>
        <w:left w:val="single" w:color="000000" w:themeColor="accent6" w:themeTint="98" w:sz="32" w:space="0"/>
        <w:bottom w:val="single" w:color="000000" w:themeColor="accent6" w:themeTint="98" w:sz="32" w:space="0"/>
        <w:right w:val="single" w:color="000000" w:themeColor="accent6" w:themeTint="98" w:sz="32" w:space="0"/>
      </w:tblBorders>
      <w:shd w:val="clear" w:color="ffffff" w:themeColor="accent6" w:themeTint="98" w:fill="f9bf90" w:themeFill="accent6" w:themeFillTint="98"/>
    </w:tblPr>
    <w:tcPr>
      <w:tcBorders/>
    </w:tcPr>
    <w:tblStylePr w:type="band1Horz">
      <w:pPr>
        <w:pBdr/>
        <w:spacing/>
        <w:ind/>
      </w:pPr>
      <w:tblPr>
        <w:tblBorders/>
      </w:tblPr>
      <w:tcPr>
        <w:shd w:val="clear" w:color="ffffff" w:themeColor="accent6" w:themeTint="98" w:fill="f9bf90" w:themeFill="accent6" w:themeFillTint="98"/>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6" w:themeTint="98" w:fill="f9bf90" w:themeFill="accent6" w:themeFillTint="98"/>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6" w:themeTint="98" w:fill="f9bf90" w:themeFill="accent6" w:themeFillTint="98"/>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6" w:themeTint="98"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6" w:themeTint="98" w:fill="f9bf90" w:themeFill="accent6" w:themeFillTint="98"/>
        <w:tcBorders>
          <w:top w:val="single" w:color="000000" w:themeColor="accent6" w:themeTint="98"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6" w:themeTint="98"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39">
    <w:name w:val="List Table 6 Colorful"/>
    <w:basedOn w:val="32"/>
    <w:uiPriority w:val="99"/>
    <w:pPr>
      <w:pBdr/>
      <w:spacing w:after="0" w:line="240" w:lineRule="auto"/>
      <w:ind/>
    </w:pPr>
    <w:tblPr>
      <w:tblStyleRowBandSize w:val="1"/>
      <w:tblStyleColBandSize w:val="1"/>
      <w:tblInd w:w="0" w:type="dxa"/>
      <w:tblBorders>
        <w:top w:val="single" w:color="000000" w:themeColor="text1" w:themeTint="80" w:sz="4" w:space="0"/>
        <w:bottom w:val="single" w:color="000000" w:themeColor="text1" w:themeTint="80" w:sz="4" w:space="0"/>
      </w:tblBorders>
    </w:tblPr>
    <w:tcPr>
      <w:tcBorders/>
    </w:tcPr>
    <w:tblStylePr w:type="band1Horz">
      <w:rPr>
        <w:rFonts w:ascii="Arial" w:hAnsi="Arial"/>
        <w:color w:val="404040" w:themeColor="text1"/>
        <w:sz w:val="22"/>
      </w:rPr>
      <w:pPr>
        <w:pBdr/>
        <w:spacing/>
        <w:ind/>
      </w:pPr>
      <w:tblPr>
        <w:tblBorders/>
      </w:tblPr>
      <w:tcPr>
        <w:shd w:val="clear" w:color="ffffff" w:themeColor="text1" w:themeTint="40" w:fill="bfbfbf" w:themeFill="text1" w:themeFillTint="40"/>
        <w:tcBorders/>
      </w:tcPr>
    </w:tblStylePr>
    <w:tblStylePr w:type="band1Vert">
      <w:pPr>
        <w:pBdr/>
        <w:spacing/>
        <w:ind/>
      </w:pPr>
      <w:tblPr>
        <w:tblBorders/>
      </w:tblPr>
      <w:tcPr>
        <w:shd w:val="clear" w:color="ffffff" w:themeColor="text1" w:themeTint="40" w:fill="bfbfbf" w:themeFill="text1" w:themeFillTint="40"/>
        <w:tcBorders/>
      </w:tcPr>
    </w:tblStylePr>
    <w:tblStylePr w:type="band2Horz">
      <w:rPr>
        <w:rFonts w:ascii="Arial" w:hAnsi="Arial"/>
        <w:color w:val="404040" w:themeColor="text1"/>
        <w:sz w:val="22"/>
      </w:rPr>
      <w:pPr>
        <w:pBdr/>
        <w:spacing/>
        <w:ind/>
      </w:pPr>
      <w:tblPr>
        <w:tblBorders/>
      </w:tblPr>
      <w:tcPr>
        <w:tcBorders/>
      </w:tcPr>
    </w:tblStylePr>
    <w:tblStylePr w:type="band2Vert">
      <w:pPr>
        <w:pBdr/>
        <w:spacing/>
        <w:ind/>
      </w:pPr>
      <w:tblPr>
        <w:tblBorders/>
      </w:tblPr>
      <w:tcPr>
        <w:tcBorders/>
      </w:tcPr>
    </w:tblStylePr>
    <w:tblStylePr w:type="firstCol">
      <w:rPr>
        <w:b/>
        <w:color w:val="000000" w:themeColor="text1"/>
      </w:rPr>
      <w:pPr>
        <w:pBdr/>
        <w:spacing/>
        <w:ind/>
      </w:pPr>
      <w:tblPr>
        <w:tblBorders/>
      </w:tblPr>
      <w:tcPr>
        <w:tcBorders/>
      </w:tcPr>
    </w:tblStylePr>
    <w:tblStylePr w:type="firstRow">
      <w:rPr>
        <w:b/>
        <w:color w:val="000000" w:themeColor="text1"/>
      </w:rPr>
      <w:pPr>
        <w:pBdr/>
        <w:spacing/>
        <w:ind/>
      </w:pPr>
      <w:tblPr>
        <w:tblBorders/>
      </w:tblPr>
      <w:tcPr>
        <w:tcBorders>
          <w:bottom w:val="single" w:color="000000" w:themeColor="text1" w:themeTint="80" w:sz="4" w:space="0"/>
        </w:tcBorders>
      </w:tcPr>
    </w:tblStylePr>
    <w:tblStylePr w:type="lastCol">
      <w:rPr>
        <w:b/>
        <w:color w:val="000000" w:themeColor="text1"/>
      </w:rPr>
      <w:pPr>
        <w:pBdr/>
        <w:spacing/>
        <w:ind/>
      </w:pPr>
      <w:tblPr>
        <w:tblBorders/>
      </w:tblPr>
      <w:tcPr>
        <w:tcBorders/>
      </w:tcPr>
    </w:tblStylePr>
    <w:tblStylePr w:type="lastRow">
      <w:rPr>
        <w:b/>
        <w:color w:val="000000" w:themeColor="text1"/>
      </w:rPr>
      <w:pPr>
        <w:pBdr/>
        <w:spacing/>
        <w:ind/>
      </w:pPr>
      <w:tblPr>
        <w:tblBorders/>
      </w:tblPr>
      <w:tcPr>
        <w:tcBorders>
          <w:top w:val="single" w:color="000000" w:themeColor="text1" w:themeTint="8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0">
    <w:name w:val="List Table 6 Colorful - Accent 1"/>
    <w:basedOn w:val="32"/>
    <w:uiPriority w:val="99"/>
    <w:pPr>
      <w:pBdr/>
      <w:spacing w:after="0" w:line="240" w:lineRule="auto"/>
      <w:ind/>
    </w:pPr>
    <w:tblPr>
      <w:tblStyleRowBandSize w:val="1"/>
      <w:tblStyleColBandSize w:val="1"/>
      <w:tblInd w:w="0" w:type="dxa"/>
      <w:tblBorders>
        <w:top w:val="single" w:color="000000" w:themeColor="accent1" w:sz="4" w:space="0"/>
        <w:bottom w:val="single" w:color="000000" w:themeColor="accent1" w:sz="4" w:space="0"/>
      </w:tblBorders>
    </w:tblPr>
    <w:tcPr>
      <w:tcBorders/>
    </w:tcPr>
    <w:tblStylePr w:type="band1Horz">
      <w:rPr>
        <w:rFonts w:ascii="Arial" w:hAnsi="Arial"/>
        <w:color w:val="404040" w:themeColor="accent1" w:themeShade="95"/>
        <w:sz w:val="22"/>
      </w:rPr>
      <w:pPr>
        <w:pBdr/>
        <w:spacing/>
        <w:ind/>
      </w:pPr>
      <w:tblPr>
        <w:tblBorders/>
      </w:tblPr>
      <w:tcPr>
        <w:shd w:val="clear" w:color="ffffff" w:themeColor="accent1" w:themeTint="40" w:fill="d3e0ee" w:themeFill="accent1" w:themeFillTint="40"/>
        <w:tcBorders/>
      </w:tcPr>
    </w:tblStylePr>
    <w:tblStylePr w:type="band1Vert">
      <w:pPr>
        <w:pBdr/>
        <w:spacing/>
        <w:ind/>
      </w:pPr>
      <w:tblPr>
        <w:tblBorders/>
      </w:tblPr>
      <w:tcPr>
        <w:shd w:val="clear" w:color="ffffff" w:themeColor="accent1" w:themeTint="40" w:fill="d3e0ee" w:themeFill="accent1" w:themeFillTint="40"/>
        <w:tcBorders/>
      </w:tcPr>
    </w:tblStylePr>
    <w:tblStylePr w:type="band2Horz">
      <w:rPr>
        <w:rFonts w:ascii="Arial" w:hAnsi="Arial"/>
        <w:color w:val="404040" w:themeColor="accent1"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a4b71" w:themeColor="accent1" w:themeShade="95"/>
      </w:rPr>
      <w:pPr>
        <w:pBdr/>
        <w:spacing/>
        <w:ind/>
      </w:pPr>
      <w:tblPr>
        <w:tblBorders/>
      </w:tblPr>
      <w:tcPr>
        <w:tcBorders/>
      </w:tcPr>
    </w:tblStylePr>
    <w:tblStylePr w:type="firstRow">
      <w:rPr>
        <w:b/>
        <w:color w:val="2a4b71" w:themeColor="accent1" w:themeShade="95"/>
      </w:rPr>
      <w:pPr>
        <w:pBdr/>
        <w:spacing/>
        <w:ind/>
      </w:pPr>
      <w:tblPr>
        <w:tblBorders/>
      </w:tblPr>
      <w:tcPr>
        <w:tcBorders>
          <w:bottom w:val="single" w:color="000000" w:themeColor="accent1" w:sz="4" w:space="0"/>
        </w:tcBorders>
      </w:tcPr>
    </w:tblStylePr>
    <w:tblStylePr w:type="lastCol">
      <w:rPr>
        <w:b/>
        <w:color w:val="2a4b71" w:themeColor="accent1" w:themeShade="95"/>
      </w:rPr>
      <w:pPr>
        <w:pBdr/>
        <w:spacing/>
        <w:ind/>
      </w:pPr>
      <w:tblPr>
        <w:tblBorders/>
      </w:tblPr>
      <w:tcPr>
        <w:tcBorders/>
      </w:tcPr>
    </w:tblStylePr>
    <w:tblStylePr w:type="lastRow">
      <w:rPr>
        <w:b/>
        <w:color w:val="2a4b71" w:themeColor="accent1" w:themeShade="95"/>
      </w:rPr>
      <w:pPr>
        <w:pBdr/>
        <w:spacing/>
        <w:ind/>
      </w:pPr>
      <w:tblPr>
        <w:tblBorders/>
      </w:tblPr>
      <w:tcPr>
        <w:tcBorders>
          <w:top w:val="single" w:color="000000" w:themeColor="accen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1">
    <w:name w:val="List Table 6 Colorful - Accent 2"/>
    <w:basedOn w:val="32"/>
    <w:uiPriority w:val="99"/>
    <w:pPr>
      <w:pBdr/>
      <w:spacing w:after="0" w:line="240" w:lineRule="auto"/>
      <w:ind/>
    </w:pPr>
    <w:tblPr>
      <w:tblStyleRowBandSize w:val="1"/>
      <w:tblStyleColBandSize w:val="1"/>
      <w:tblInd w:w="0" w:type="dxa"/>
      <w:tblBorders>
        <w:top w:val="single" w:color="000000" w:themeColor="accent2" w:themeTint="97" w:sz="4" w:space="0"/>
        <w:bottom w:val="single" w:color="000000" w:themeColor="accent2" w:themeTint="97" w:sz="4" w:space="0"/>
      </w:tblBorders>
    </w:tblPr>
    <w:tcPr>
      <w:tcBorders/>
    </w:tcPr>
    <w:tblStylePr w:type="band1Horz">
      <w:rPr>
        <w:rFonts w:ascii="Arial" w:hAnsi="Arial"/>
        <w:color w:val="404040" w:themeColor="accent2" w:themeTint="97" w:themeShade="95"/>
        <w:sz w:val="22"/>
      </w:rPr>
      <w:pPr>
        <w:pBdr/>
        <w:spacing/>
        <w:ind/>
      </w:pPr>
      <w:tblPr>
        <w:tblBorders/>
      </w:tblPr>
      <w:tcPr>
        <w:shd w:val="clear" w:color="ffffff" w:themeColor="accent2" w:themeTint="40" w:fill="efd3d2" w:themeFill="accent2" w:themeFillTint="40"/>
        <w:tcBorders/>
      </w:tcPr>
    </w:tblStylePr>
    <w:tblStylePr w:type="band1Vert">
      <w:pPr>
        <w:pBdr/>
        <w:spacing/>
        <w:ind/>
      </w:pPr>
      <w:tblPr>
        <w:tblBorders/>
      </w:tblPr>
      <w:tcPr>
        <w:shd w:val="clear" w:color="ffffff" w:themeColor="accent2" w:themeTint="40" w:fill="efd3d2" w:themeFill="accent2" w:themeFillTint="40"/>
        <w:tcBorders/>
      </w:tcPr>
    </w:tblStylePr>
    <w:tblStylePr w:type="band2Horz">
      <w:rPr>
        <w:rFonts w:ascii="Arial" w:hAnsi="Arial"/>
        <w:color w:val="404040"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9c3a37" w:themeColor="accent2" w:themeTint="97" w:themeShade="95"/>
      </w:rPr>
      <w:pPr>
        <w:pBdr/>
        <w:spacing/>
        <w:ind/>
      </w:pPr>
      <w:tblPr>
        <w:tblBorders/>
      </w:tblPr>
      <w:tcPr>
        <w:tcBorders/>
      </w:tcPr>
    </w:tblStylePr>
    <w:tblStylePr w:type="firstRow">
      <w:rPr>
        <w:b/>
        <w:color w:val="9c3a37" w:themeColor="accent2" w:themeTint="97" w:themeShade="95"/>
      </w:rPr>
      <w:pPr>
        <w:pBdr/>
        <w:spacing/>
        <w:ind/>
      </w:pPr>
      <w:tblPr>
        <w:tblBorders/>
      </w:tblPr>
      <w:tcPr>
        <w:tcBorders>
          <w:bottom w:val="single" w:color="000000" w:themeColor="accent2" w:themeTint="97" w:sz="4" w:space="0"/>
        </w:tcBorders>
      </w:tcPr>
    </w:tblStylePr>
    <w:tblStylePr w:type="lastCol">
      <w:rPr>
        <w:b/>
        <w:color w:val="9c3a37" w:themeColor="accent2" w:themeTint="97" w:themeShade="95"/>
      </w:rPr>
      <w:pPr>
        <w:pBdr/>
        <w:spacing/>
        <w:ind/>
      </w:pPr>
      <w:tblPr>
        <w:tblBorders/>
      </w:tblPr>
      <w:tcPr>
        <w:tcBorders/>
      </w:tcPr>
    </w:tblStylePr>
    <w:tblStylePr w:type="lastRow">
      <w:rPr>
        <w:b/>
        <w:color w:val="9c3a37" w:themeColor="accent2" w:themeTint="97" w:themeShade="95"/>
      </w:rPr>
      <w:pPr>
        <w:pBdr/>
        <w:spacing/>
        <w:ind/>
      </w:pPr>
      <w:tblPr>
        <w:tblBorders/>
      </w:tblPr>
      <w:tcPr>
        <w:tcBorders>
          <w:top w:val="single" w:color="000000" w:themeColor="accent2" w:themeTint="97"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2">
    <w:name w:val="List Table 6 Colorful - Accent 3"/>
    <w:basedOn w:val="32"/>
    <w:uiPriority w:val="99"/>
    <w:pPr>
      <w:pBdr/>
      <w:spacing w:after="0" w:line="240" w:lineRule="auto"/>
      <w:ind/>
    </w:pPr>
    <w:tblPr>
      <w:tblStyleRowBandSize w:val="1"/>
      <w:tblStyleColBandSize w:val="1"/>
      <w:tblInd w:w="0" w:type="dxa"/>
      <w:tblBorders>
        <w:top w:val="single" w:color="000000" w:themeColor="accent3" w:themeTint="98" w:sz="4" w:space="0"/>
        <w:bottom w:val="single" w:color="000000" w:themeColor="accent3" w:themeTint="98" w:sz="4" w:space="0"/>
      </w:tblBorders>
    </w:tblPr>
    <w:tcPr>
      <w:tcBorders/>
    </w:tcPr>
    <w:tblStylePr w:type="band1Horz">
      <w:rPr>
        <w:rFonts w:ascii="Arial" w:hAnsi="Arial"/>
        <w:color w:val="404040" w:themeColor="accent3" w:themeTint="98" w:themeShade="95"/>
        <w:sz w:val="22"/>
      </w:rPr>
      <w:pPr>
        <w:pBdr/>
        <w:spacing/>
        <w:ind/>
      </w:pPr>
      <w:tblPr>
        <w:tblBorders/>
      </w:tblPr>
      <w:tcPr>
        <w:shd w:val="clear" w:color="ffffff" w:themeColor="accent3" w:themeTint="40" w:fill="e6eed5" w:themeFill="accent3" w:themeFillTint="40"/>
        <w:tcBorders/>
      </w:tcPr>
    </w:tblStylePr>
    <w:tblStylePr w:type="band1Vert">
      <w:pPr>
        <w:pBdr/>
        <w:spacing/>
        <w:ind/>
      </w:pPr>
      <w:tblPr>
        <w:tblBorders/>
      </w:tblPr>
      <w:tcPr>
        <w:shd w:val="clear" w:color="ffffff" w:themeColor="accent3" w:themeTint="40" w:fill="e6eed5" w:themeFill="accent3" w:themeFillTint="40"/>
        <w:tcBorders/>
      </w:tcPr>
    </w:tblStylePr>
    <w:tblStylePr w:type="band2Horz">
      <w:rPr>
        <w:rFonts w:ascii="Arial" w:hAnsi="Arial"/>
        <w:color w:val="404040" w:themeColor="accent3"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7c983f" w:themeColor="accent3" w:themeTint="98" w:themeShade="95"/>
      </w:rPr>
      <w:pPr>
        <w:pBdr/>
        <w:spacing/>
        <w:ind/>
      </w:pPr>
      <w:tblPr>
        <w:tblBorders/>
      </w:tblPr>
      <w:tcPr>
        <w:tcBorders/>
      </w:tcPr>
    </w:tblStylePr>
    <w:tblStylePr w:type="firstRow">
      <w:rPr>
        <w:b/>
        <w:color w:val="7c983f" w:themeColor="accent3" w:themeTint="98" w:themeShade="95"/>
      </w:rPr>
      <w:pPr>
        <w:pBdr/>
        <w:spacing/>
        <w:ind/>
      </w:pPr>
      <w:tblPr>
        <w:tblBorders/>
      </w:tblPr>
      <w:tcPr>
        <w:tcBorders>
          <w:bottom w:val="single" w:color="000000" w:themeColor="accent3" w:themeTint="98" w:sz="4" w:space="0"/>
        </w:tcBorders>
      </w:tcPr>
    </w:tblStylePr>
    <w:tblStylePr w:type="lastCol">
      <w:rPr>
        <w:b/>
        <w:color w:val="7c983f" w:themeColor="accent3" w:themeTint="98" w:themeShade="95"/>
      </w:rPr>
      <w:pPr>
        <w:pBdr/>
        <w:spacing/>
        <w:ind/>
      </w:pPr>
      <w:tblPr>
        <w:tblBorders/>
      </w:tblPr>
      <w:tcPr>
        <w:tcBorders/>
      </w:tcPr>
    </w:tblStylePr>
    <w:tblStylePr w:type="lastRow">
      <w:rPr>
        <w:b/>
        <w:color w:val="7c983f" w:themeColor="accent3" w:themeTint="98" w:themeShade="95"/>
      </w:rPr>
      <w:pPr>
        <w:pBdr/>
        <w:spacing/>
        <w:ind/>
      </w:pPr>
      <w:tblPr>
        <w:tblBorders/>
      </w:tblPr>
      <w:tcPr>
        <w:tcBorders>
          <w:top w:val="single" w:color="000000" w:themeColor="accent3" w:themeTint="98"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3">
    <w:name w:val="List Table 6 Colorful - Accent 4"/>
    <w:basedOn w:val="32"/>
    <w:uiPriority w:val="99"/>
    <w:pPr>
      <w:pBdr/>
      <w:spacing w:after="0" w:line="240" w:lineRule="auto"/>
      <w:ind/>
    </w:pPr>
    <w:tblPr>
      <w:tblStyleRowBandSize w:val="1"/>
      <w:tblStyleColBandSize w:val="1"/>
      <w:tblInd w:w="0" w:type="dxa"/>
      <w:tblBorders>
        <w:top w:val="single" w:color="000000" w:themeColor="accent4" w:themeTint="9A" w:sz="4" w:space="0"/>
        <w:bottom w:val="single" w:color="000000" w:themeColor="accent4" w:themeTint="9A" w:sz="4" w:space="0"/>
      </w:tblBorders>
    </w:tblPr>
    <w:tcPr>
      <w:tcBorders/>
    </w:tcPr>
    <w:tblStylePr w:type="band1Horz">
      <w:rPr>
        <w:rFonts w:ascii="Arial" w:hAnsi="Arial"/>
        <w:color w:val="404040" w:themeColor="accent4" w:themeTint="9A" w:themeShade="95"/>
        <w:sz w:val="22"/>
      </w:rPr>
      <w:pPr>
        <w:pBdr/>
        <w:spacing/>
        <w:ind/>
      </w:pPr>
      <w:tblPr>
        <w:tblBorders/>
      </w:tblPr>
      <w:tcPr>
        <w:shd w:val="clear" w:color="ffffff" w:themeColor="accent4" w:themeTint="40" w:fill="dfd8e7" w:themeFill="accent4" w:themeFillTint="40"/>
        <w:tcBorders/>
      </w:tcPr>
    </w:tblStylePr>
    <w:tblStylePr w:type="band1Vert">
      <w:pPr>
        <w:pBdr/>
        <w:spacing/>
        <w:ind/>
      </w:pPr>
      <w:tblPr>
        <w:tblBorders/>
      </w:tblPr>
      <w:tcPr>
        <w:shd w:val="clear" w:color="ffffff" w:themeColor="accent4" w:themeTint="40" w:fill="dfd8e7" w:themeFill="accent4" w:themeFillTint="40"/>
        <w:tcBorders/>
      </w:tcPr>
    </w:tblStylePr>
    <w:tblStylePr w:type="band2Horz">
      <w:rPr>
        <w:rFonts w:ascii="Arial" w:hAnsi="Arial"/>
        <w:color w:val="404040"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664f82" w:themeColor="accent4" w:themeTint="9A" w:themeShade="95"/>
      </w:rPr>
      <w:pPr>
        <w:pBdr/>
        <w:spacing/>
        <w:ind/>
      </w:pPr>
      <w:tblPr>
        <w:tblBorders/>
      </w:tblPr>
      <w:tcPr>
        <w:tcBorders/>
      </w:tcPr>
    </w:tblStylePr>
    <w:tblStylePr w:type="firstRow">
      <w:rPr>
        <w:b/>
        <w:color w:val="664f82" w:themeColor="accent4" w:themeTint="9A" w:themeShade="95"/>
      </w:rPr>
      <w:pPr>
        <w:pBdr/>
        <w:spacing/>
        <w:ind/>
      </w:pPr>
      <w:tblPr>
        <w:tblBorders/>
      </w:tblPr>
      <w:tcPr>
        <w:tcBorders>
          <w:bottom w:val="single" w:color="000000" w:themeColor="accent4" w:themeTint="9A" w:sz="4" w:space="0"/>
        </w:tcBorders>
      </w:tcPr>
    </w:tblStylePr>
    <w:tblStylePr w:type="lastCol">
      <w:rPr>
        <w:b/>
        <w:color w:val="664f82" w:themeColor="accent4" w:themeTint="9A" w:themeShade="95"/>
      </w:rPr>
      <w:pPr>
        <w:pBdr/>
        <w:spacing/>
        <w:ind/>
      </w:pPr>
      <w:tblPr>
        <w:tblBorders/>
      </w:tblPr>
      <w:tcPr>
        <w:tcBorders/>
      </w:tcPr>
    </w:tblStylePr>
    <w:tblStylePr w:type="lastRow">
      <w:rPr>
        <w:b/>
        <w:color w:val="664f82" w:themeColor="accent4" w:themeTint="9A" w:themeShade="95"/>
      </w:rPr>
      <w:pPr>
        <w:pBdr/>
        <w:spacing/>
        <w:ind/>
      </w:pPr>
      <w:tblPr>
        <w:tblBorders/>
      </w:tblPr>
      <w:tcPr>
        <w:tcBorders>
          <w:top w:val="single" w:color="000000" w:themeColor="accent4"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4">
    <w:name w:val="List Table 6 Colorful - Accent 5"/>
    <w:basedOn w:val="32"/>
    <w:uiPriority w:val="99"/>
    <w:pPr>
      <w:pBdr/>
      <w:spacing w:after="0" w:line="240" w:lineRule="auto"/>
      <w:ind/>
    </w:pPr>
    <w:tblPr>
      <w:tblStyleRowBandSize w:val="1"/>
      <w:tblStyleColBandSize w:val="1"/>
      <w:tblInd w:w="0" w:type="dxa"/>
      <w:tblBorders>
        <w:top w:val="single" w:color="000000" w:themeColor="accent5" w:themeTint="9A" w:sz="4" w:space="0"/>
        <w:bottom w:val="single" w:color="000000" w:themeColor="accent5" w:themeTint="9A" w:sz="4" w:space="0"/>
      </w:tblBorders>
    </w:tblPr>
    <w:tcPr>
      <w:tcBorders/>
    </w:tcPr>
    <w:tblStylePr w:type="band1Horz">
      <w:rPr>
        <w:rFonts w:ascii="Arial" w:hAnsi="Arial"/>
        <w:color w:val="404040" w:themeColor="accent5" w:themeTint="9A" w:themeShade="95"/>
        <w:sz w:val="22"/>
      </w:rPr>
      <w:pPr>
        <w:pBdr/>
        <w:spacing/>
        <w:ind/>
      </w:pPr>
      <w:tblPr>
        <w:tblBorders/>
      </w:tblPr>
      <w:tcPr>
        <w:shd w:val="clear" w:color="ffffff" w:themeColor="accent5" w:themeTint="40" w:fill="d1eaf0" w:themeFill="accent5" w:themeFillTint="40"/>
        <w:tcBorders/>
      </w:tcPr>
    </w:tblStylePr>
    <w:tblStylePr w:type="band1Vert">
      <w:pPr>
        <w:pBdr/>
        <w:spacing/>
        <w:ind/>
      </w:pPr>
      <w:tblPr>
        <w:tblBorders/>
      </w:tblPr>
      <w:tcPr>
        <w:shd w:val="clear" w:color="ffffff" w:themeColor="accent5" w:themeTint="40" w:fill="d1eaf0" w:themeFill="accent5" w:themeFillTint="40"/>
        <w:tcBorders/>
      </w:tcPr>
    </w:tblStylePr>
    <w:tblStylePr w:type="band2Horz">
      <w:rPr>
        <w:rFonts w:ascii="Arial" w:hAnsi="Arial"/>
        <w:color w:val="404040" w:themeColor="accent5"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338aa0" w:themeColor="accent5" w:themeTint="9A" w:themeShade="95"/>
      </w:rPr>
      <w:pPr>
        <w:pBdr/>
        <w:spacing/>
        <w:ind/>
      </w:pPr>
      <w:tblPr>
        <w:tblBorders/>
      </w:tblPr>
      <w:tcPr>
        <w:tcBorders/>
      </w:tcPr>
    </w:tblStylePr>
    <w:tblStylePr w:type="firstRow">
      <w:rPr>
        <w:b/>
        <w:color w:val="338aa0" w:themeColor="accent5" w:themeTint="9A" w:themeShade="95"/>
      </w:rPr>
      <w:pPr>
        <w:pBdr/>
        <w:spacing/>
        <w:ind/>
      </w:pPr>
      <w:tblPr>
        <w:tblBorders/>
      </w:tblPr>
      <w:tcPr>
        <w:tcBorders>
          <w:bottom w:val="single" w:color="000000" w:themeColor="accent5" w:themeTint="9A" w:sz="4" w:space="0"/>
        </w:tcBorders>
      </w:tcPr>
    </w:tblStylePr>
    <w:tblStylePr w:type="lastCol">
      <w:rPr>
        <w:b/>
        <w:color w:val="338aa0" w:themeColor="accent5" w:themeTint="9A" w:themeShade="95"/>
      </w:rPr>
      <w:pPr>
        <w:pBdr/>
        <w:spacing/>
        <w:ind/>
      </w:pPr>
      <w:tblPr>
        <w:tblBorders/>
      </w:tblPr>
      <w:tcPr>
        <w:tcBorders/>
      </w:tcPr>
    </w:tblStylePr>
    <w:tblStylePr w:type="lastRow">
      <w:rPr>
        <w:b/>
        <w:color w:val="338aa0" w:themeColor="accent5" w:themeTint="9A" w:themeShade="95"/>
      </w:rPr>
      <w:pPr>
        <w:pBdr/>
        <w:spacing/>
        <w:ind/>
      </w:pPr>
      <w:tblPr>
        <w:tblBorders/>
      </w:tblPr>
      <w:tcPr>
        <w:tcBorders>
          <w:top w:val="single" w:color="000000" w:themeColor="accent5"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5">
    <w:name w:val="List Table 6 Colorful - Accent 6"/>
    <w:basedOn w:val="32"/>
    <w:uiPriority w:val="99"/>
    <w:pPr>
      <w:pBdr/>
      <w:spacing w:after="0" w:line="240" w:lineRule="auto"/>
      <w:ind/>
    </w:pPr>
    <w:tblPr>
      <w:tblStyleRowBandSize w:val="1"/>
      <w:tblStyleColBandSize w:val="1"/>
      <w:tblInd w:w="0" w:type="dxa"/>
      <w:tblBorders>
        <w:top w:val="single" w:color="000000" w:themeColor="accent6" w:themeTint="98" w:sz="4" w:space="0"/>
        <w:bottom w:val="single" w:color="000000" w:themeColor="accent6" w:themeTint="98" w:sz="4" w:space="0"/>
      </w:tblBorders>
    </w:tblPr>
    <w:tcPr>
      <w:tcBorders/>
    </w:tcPr>
    <w:tblStylePr w:type="band1Horz">
      <w:rPr>
        <w:rFonts w:ascii="Arial" w:hAnsi="Arial"/>
        <w:color w:val="404040" w:themeColor="accent6" w:themeTint="98" w:themeShade="95"/>
        <w:sz w:val="22"/>
      </w:rPr>
      <w:pPr>
        <w:pBdr/>
        <w:spacing/>
        <w:ind/>
      </w:pPr>
      <w:tblPr>
        <w:tblBorders/>
      </w:tblPr>
      <w:tcPr>
        <w:shd w:val="clear" w:color="ffffff" w:themeColor="accent6" w:themeTint="40" w:fill="fce4d1" w:themeFill="accent6" w:themeFillTint="40"/>
        <w:tcBorders/>
      </w:tcPr>
    </w:tblStylePr>
    <w:tblStylePr w:type="band1Vert">
      <w:pPr>
        <w:pBdr/>
        <w:spacing/>
        <w:ind/>
      </w:pPr>
      <w:tblPr>
        <w:tblBorders/>
      </w:tblPr>
      <w:tcPr>
        <w:shd w:val="clear" w:color="ffffff" w:themeColor="accent6" w:themeTint="40" w:fill="fce4d1" w:themeFill="accent6" w:themeFillTint="40"/>
        <w:tcBorders/>
      </w:tcPr>
    </w:tblStylePr>
    <w:tblStylePr w:type="band2Horz">
      <w:rPr>
        <w:rFonts w:ascii="Arial" w:hAnsi="Arial"/>
        <w:color w:val="404040" w:themeColor="accent6"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d9680c" w:themeColor="accent6" w:themeTint="98" w:themeShade="95"/>
      </w:rPr>
      <w:pPr>
        <w:pBdr/>
        <w:spacing/>
        <w:ind/>
      </w:pPr>
      <w:tblPr>
        <w:tblBorders/>
      </w:tblPr>
      <w:tcPr>
        <w:tcBorders/>
      </w:tcPr>
    </w:tblStylePr>
    <w:tblStylePr w:type="firstRow">
      <w:rPr>
        <w:b/>
        <w:color w:val="d9680c" w:themeColor="accent6" w:themeTint="98" w:themeShade="95"/>
      </w:rPr>
      <w:pPr>
        <w:pBdr/>
        <w:spacing/>
        <w:ind/>
      </w:pPr>
      <w:tblPr>
        <w:tblBorders/>
      </w:tblPr>
      <w:tcPr>
        <w:tcBorders>
          <w:bottom w:val="single" w:color="000000" w:themeColor="accent6" w:themeTint="98" w:sz="4" w:space="0"/>
        </w:tcBorders>
      </w:tcPr>
    </w:tblStylePr>
    <w:tblStylePr w:type="lastCol">
      <w:rPr>
        <w:b/>
        <w:color w:val="d9680c" w:themeColor="accent6" w:themeTint="98" w:themeShade="95"/>
      </w:rPr>
      <w:pPr>
        <w:pBdr/>
        <w:spacing/>
        <w:ind/>
      </w:pPr>
      <w:tblPr>
        <w:tblBorders/>
      </w:tblPr>
      <w:tcPr>
        <w:tcBorders/>
      </w:tcPr>
    </w:tblStylePr>
    <w:tblStylePr w:type="lastRow">
      <w:rPr>
        <w:b/>
        <w:color w:val="d9680c" w:themeColor="accent6" w:themeTint="98" w:themeShade="95"/>
      </w:rPr>
      <w:pPr>
        <w:pBdr/>
        <w:spacing/>
        <w:ind/>
      </w:pPr>
      <w:tblPr>
        <w:tblBorders/>
      </w:tblPr>
      <w:tcPr>
        <w:tcBorders>
          <w:top w:val="single" w:color="000000" w:themeColor="accent6" w:themeTint="98"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6">
    <w:name w:val="List Table 7 Colorful"/>
    <w:basedOn w:val="32"/>
    <w:uiPriority w:val="99"/>
    <w:pPr>
      <w:pBdr/>
      <w:spacing w:after="0" w:line="240" w:lineRule="auto"/>
      <w:ind/>
    </w:pPr>
    <w:tblPr>
      <w:tblStyleRowBandSize w:val="1"/>
      <w:tblStyleColBandSize w:val="1"/>
      <w:tblInd w:w="0" w:type="dxa"/>
      <w:tblBorders>
        <w:right w:val="single" w:color="000000" w:themeColor="text1" w:themeTint="80" w:sz="4" w:space="0"/>
      </w:tblBorders>
    </w:tblPr>
    <w:tcPr>
      <w:tcBorders/>
    </w:tcPr>
    <w:tblStylePr w:type="band1Horz">
      <w:rPr>
        <w:rFonts w:ascii="Arial" w:hAnsi="Arial"/>
        <w:color w:val="4a4a4a" w:themeColor="text1" w:themeTint="80" w:themeShade="95"/>
        <w:sz w:val="22"/>
      </w:rPr>
      <w:pPr>
        <w:pBdr/>
        <w:spacing/>
        <w:ind/>
      </w:pPr>
      <w:tblPr>
        <w:tblBorders/>
      </w:tblPr>
      <w:tcPr>
        <w:shd w:val="clear" w:color="ffffff" w:themeColor="text1" w:themeTint="40" w:fill="bfbfbf" w:themeFill="text1" w:themeFillTint="40"/>
        <w:tcBorders/>
      </w:tcPr>
    </w:tblStylePr>
    <w:tblStylePr w:type="band1Vert">
      <w:pPr>
        <w:pBdr/>
        <w:spacing/>
        <w:ind/>
      </w:pPr>
      <w:tblPr>
        <w:tblBorders/>
      </w:tblPr>
      <w:tcPr>
        <w:shd w:val="clear" w:color="ffffff" w:themeColor="text1" w:themeTint="40" w:fill="bfbfbf" w:themeFill="text1" w:themeFillTint="40"/>
        <w:tcBorders/>
      </w:tcPr>
    </w:tblStylePr>
    <w:tblStylePr w:type="band2Horz">
      <w:rPr>
        <w:rFonts w:ascii="Arial" w:hAnsi="Arial"/>
        <w:color w:val="4a4a4a"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4a4a4a" w:themeColor="text1" w:themeTint="80" w:themeShade="95"/>
        <w:sz w:val="22"/>
      </w:rPr>
      <w:pPr>
        <w:pBdr/>
        <w:spacing/>
        <w:ind/>
        <w:jc w:val="right"/>
      </w:pPr>
      <w:tblPr>
        <w:tblBorders/>
      </w:tblPr>
      <w:tcPr>
        <w:shd w:color="ffffff"/>
        <w:tcBorders>
          <w:top w:val="none"/>
          <w:left w:val="none"/>
          <w:bottom w:val="none"/>
          <w:right w:val="single" w:color="000000" w:themeColor="text1" w:themeTint="80" w:sz="4" w:space="0"/>
        </w:tcBorders>
      </w:tcPr>
    </w:tblStylePr>
    <w:tblStylePr w:type="firstRow">
      <w:rPr>
        <w:rFonts w:ascii="Arial" w:hAnsi="Arial"/>
        <w:i/>
        <w:color w:val="4a4a4a" w:themeColor="text1" w:themeTint="80" w:themeShade="95"/>
        <w:sz w:val="22"/>
      </w:rPr>
      <w:pPr>
        <w:pBdr/>
        <w:spacing/>
        <w:ind/>
      </w:pPr>
      <w:tblPr>
        <w:tblBorders/>
      </w:tblPr>
      <w:tcPr>
        <w:shd w:val="clear" w:color="ffffff" w:themeColor="light1" w:fill="ffffff" w:themeFill="light1"/>
        <w:tcBorders>
          <w:top w:val="none"/>
          <w:left w:val="none"/>
          <w:bottom w:val="single" w:color="000000" w:themeColor="text1" w:themeTint="80" w:sz="4" w:space="0"/>
          <w:right w:val="none"/>
        </w:tcBorders>
      </w:tcPr>
    </w:tblStylePr>
    <w:tblStylePr w:type="lastCol">
      <w:rPr>
        <w:rFonts w:ascii="Arial" w:hAnsi="Arial"/>
        <w:i/>
        <w:color w:val="4a4a4a" w:themeColor="text1" w:themeTint="80" w:themeShade="95"/>
        <w:sz w:val="22"/>
      </w:rPr>
      <w:pPr>
        <w:pBdr/>
        <w:spacing/>
        <w:ind/>
      </w:pPr>
      <w:tblPr>
        <w:tblBorders/>
      </w:tblPr>
      <w:tcPr>
        <w:shd w:color="ffffff"/>
        <w:tcBorders>
          <w:top w:val="none"/>
          <w:left w:val="single" w:color="000000" w:themeColor="text1" w:themeTint="80" w:sz="4" w:space="0"/>
          <w:bottom w:val="none"/>
          <w:right w:val="none"/>
        </w:tcBorders>
      </w:tcPr>
    </w:tblStylePr>
    <w:tblStylePr w:type="lastRow">
      <w:rPr>
        <w:rFonts w:ascii="Arial" w:hAnsi="Arial"/>
        <w:i/>
        <w:color w:val="4a4a4a" w:themeColor="text1" w:themeTint="80" w:themeShade="95"/>
        <w:sz w:val="22"/>
      </w:rPr>
      <w:pPr>
        <w:pBdr/>
        <w:spacing/>
        <w:ind/>
      </w:pPr>
      <w:tblPr>
        <w:tblBorders/>
      </w:tblPr>
      <w:tcPr>
        <w:shd w:val="clear" w:color="ffffff" w:themeColor="light1" w:fill="ffffff" w:themeFill="light1"/>
        <w:tcBorders>
          <w:top w:val="single" w:color="000000" w:themeColor="text1" w:themeTint="80"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a4a4a" w:themeColor="text1" w:themeTint="80" w:themeShade="95"/>
        <w:sz w:val="22"/>
      </w:rPr>
      <w:pPr>
        <w:pBdr/>
        <w:spacing/>
        <w:ind/>
      </w:pPr>
      <w:tblPr>
        <w:tblBorders/>
      </w:tblPr>
      <w:tcPr>
        <w:tcBorders/>
      </w:tcPr>
    </w:tblStylePr>
  </w:style>
  <w:style w:type="table" w:styleId="147">
    <w:name w:val="List Table 7 Colorful - Accent 1"/>
    <w:basedOn w:val="32"/>
    <w:uiPriority w:val="99"/>
    <w:pPr>
      <w:pBdr/>
      <w:spacing w:after="0" w:line="240" w:lineRule="auto"/>
      <w:ind/>
    </w:pPr>
    <w:tblPr>
      <w:tblStyleRowBandSize w:val="1"/>
      <w:tblStyleColBandSize w:val="1"/>
      <w:tblInd w:w="0" w:type="dxa"/>
      <w:tblBorders>
        <w:right w:val="single" w:color="000000" w:themeColor="accent1" w:sz="4" w:space="0"/>
      </w:tblBorders>
    </w:tblPr>
    <w:tcPr>
      <w:tcBorders/>
    </w:tcPr>
    <w:tblStylePr w:type="band1Horz">
      <w:rPr>
        <w:rFonts w:ascii="Arial" w:hAnsi="Arial"/>
        <w:color w:val="2a4b71" w:themeColor="accent1" w:themeShade="95"/>
        <w:sz w:val="22"/>
      </w:rPr>
      <w:pPr>
        <w:pBdr/>
        <w:spacing/>
        <w:ind/>
      </w:pPr>
      <w:tblPr>
        <w:tblBorders/>
      </w:tblPr>
      <w:tcPr>
        <w:shd w:val="clear" w:color="ffffff" w:themeColor="accent1" w:themeTint="40" w:fill="d3e0ee" w:themeFill="accent1" w:themeFillTint="40"/>
        <w:tcBorders/>
      </w:tcPr>
    </w:tblStylePr>
    <w:tblStylePr w:type="band1Vert">
      <w:pPr>
        <w:pBdr/>
        <w:spacing/>
        <w:ind/>
      </w:pPr>
      <w:tblPr>
        <w:tblBorders/>
      </w:tblPr>
      <w:tcPr>
        <w:shd w:val="clear" w:color="ffffff" w:themeColor="accent1" w:themeTint="40" w:fill="d3e0ee" w:themeFill="accent1" w:themeFillTint="40"/>
        <w:tcBorders/>
      </w:tcPr>
    </w:tblStylePr>
    <w:tblStylePr w:type="band2Horz">
      <w:rPr>
        <w:rFonts w:ascii="Arial" w:hAnsi="Arial"/>
        <w:color w:val="2a4b71" w:themeColor="accent1"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2a4b71" w:themeColor="accent1" w:themeShade="95"/>
        <w:sz w:val="22"/>
      </w:rPr>
      <w:pPr>
        <w:pBdr/>
        <w:spacing/>
        <w:ind/>
        <w:jc w:val="right"/>
      </w:pPr>
      <w:tblPr>
        <w:tblBorders/>
      </w:tblPr>
      <w:tcPr>
        <w:shd w:color="ffffff"/>
        <w:tcBorders>
          <w:top w:val="none"/>
          <w:left w:val="none"/>
          <w:bottom w:val="none"/>
          <w:right w:val="single" w:color="000000" w:themeColor="accent1" w:sz="4" w:space="0"/>
        </w:tcBorders>
      </w:tcPr>
    </w:tblStylePr>
    <w:tblStylePr w:type="firstRow">
      <w:rPr>
        <w:rFonts w:ascii="Arial" w:hAnsi="Arial"/>
        <w:i/>
        <w:color w:val="2a4b71" w:themeColor="accent1" w:themeShade="95"/>
        <w:sz w:val="22"/>
      </w:rPr>
      <w:pPr>
        <w:pBdr/>
        <w:spacing/>
        <w:ind/>
      </w:pPr>
      <w:tblPr>
        <w:tblBorders/>
      </w:tblPr>
      <w:tcPr>
        <w:shd w:val="clear" w:color="ffffff" w:themeColor="light1" w:fill="ffffff" w:themeFill="light1"/>
        <w:tcBorders>
          <w:top w:val="none"/>
          <w:left w:val="none"/>
          <w:bottom w:val="single" w:color="000000" w:themeColor="accent1" w:sz="4" w:space="0"/>
          <w:right w:val="none"/>
        </w:tcBorders>
      </w:tcPr>
    </w:tblStylePr>
    <w:tblStylePr w:type="lastCol">
      <w:rPr>
        <w:rFonts w:ascii="Arial" w:hAnsi="Arial"/>
        <w:i/>
        <w:color w:val="2a4b71" w:themeColor="accent1" w:themeShade="95"/>
        <w:sz w:val="22"/>
      </w:rPr>
      <w:pPr>
        <w:pBdr/>
        <w:spacing/>
        <w:ind/>
      </w:pPr>
      <w:tblPr>
        <w:tblBorders/>
      </w:tblPr>
      <w:tcPr>
        <w:shd w:color="ffffff"/>
        <w:tcBorders>
          <w:top w:val="none"/>
          <w:left w:val="single" w:color="000000" w:themeColor="accent1" w:sz="4" w:space="0"/>
          <w:bottom w:val="none"/>
          <w:right w:val="none"/>
        </w:tcBorders>
      </w:tcPr>
    </w:tblStylePr>
    <w:tblStylePr w:type="lastRow">
      <w:rPr>
        <w:rFonts w:ascii="Arial" w:hAnsi="Arial"/>
        <w:i/>
        <w:color w:val="2a4b71" w:themeColor="accent1" w:themeShade="95"/>
        <w:sz w:val="22"/>
      </w:rPr>
      <w:pPr>
        <w:pBdr/>
        <w:spacing/>
        <w:ind/>
      </w:pPr>
      <w:tblPr>
        <w:tblBorders/>
      </w:tblPr>
      <w:tcPr>
        <w:shd w:val="clear" w:color="ffffff" w:themeColor="light1" w:fill="ffffff" w:themeFill="light1"/>
        <w:tcBorders>
          <w:top w:val="single" w:color="000000" w:themeColor="accent1"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2a4b71" w:themeColor="accent1" w:themeShade="95"/>
        <w:sz w:val="22"/>
      </w:rPr>
      <w:pPr>
        <w:pBdr/>
        <w:spacing/>
        <w:ind/>
      </w:pPr>
      <w:tblPr>
        <w:tblBorders/>
      </w:tblPr>
      <w:tcPr>
        <w:tcBorders/>
      </w:tcPr>
    </w:tblStylePr>
  </w:style>
  <w:style w:type="table" w:styleId="148">
    <w:name w:val="List Table 7 Colorful - Accent 2"/>
    <w:basedOn w:val="32"/>
    <w:uiPriority w:val="99"/>
    <w:pPr>
      <w:pBdr/>
      <w:spacing w:after="0" w:line="240" w:lineRule="auto"/>
      <w:ind/>
    </w:pPr>
    <w:tblPr>
      <w:tblStyleRowBandSize w:val="1"/>
      <w:tblStyleColBandSize w:val="1"/>
      <w:tblInd w:w="0" w:type="dxa"/>
      <w:tblBorders>
        <w:right w:val="single" w:color="000000" w:themeColor="accent2" w:themeTint="97" w:sz="4" w:space="0"/>
      </w:tblBorders>
    </w:tblPr>
    <w:tcPr>
      <w:tcBorders/>
    </w:tcPr>
    <w:tblStylePr w:type="band1Horz">
      <w:rPr>
        <w:rFonts w:ascii="Arial" w:hAnsi="Arial"/>
        <w:color w:val="9c3a37" w:themeColor="accent2" w:themeTint="97" w:themeShade="95"/>
        <w:sz w:val="22"/>
      </w:rPr>
      <w:pPr>
        <w:pBdr/>
        <w:spacing/>
        <w:ind/>
      </w:pPr>
      <w:tblPr>
        <w:tblBorders/>
      </w:tblPr>
      <w:tcPr>
        <w:shd w:val="clear" w:color="ffffff" w:themeColor="accent2" w:themeTint="40" w:fill="efd3d2" w:themeFill="accent2" w:themeFillTint="40"/>
        <w:tcBorders/>
      </w:tcPr>
    </w:tblStylePr>
    <w:tblStylePr w:type="band1Vert">
      <w:pPr>
        <w:pBdr/>
        <w:spacing/>
        <w:ind/>
      </w:pPr>
      <w:tblPr>
        <w:tblBorders/>
      </w:tblPr>
      <w:tcPr>
        <w:shd w:val="clear" w:color="ffffff" w:themeColor="accent2" w:themeTint="40" w:fill="efd3d2" w:themeFill="accent2" w:themeFillTint="40"/>
        <w:tcBorders/>
      </w:tcPr>
    </w:tblStylePr>
    <w:tblStylePr w:type="band2Horz">
      <w:rPr>
        <w:rFonts w:ascii="Arial" w:hAnsi="Arial"/>
        <w:color w:val="9c3a37"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9c3a37" w:themeColor="accent2" w:themeTint="97" w:themeShade="95"/>
        <w:sz w:val="22"/>
      </w:rPr>
      <w:pPr>
        <w:pBdr/>
        <w:spacing/>
        <w:ind/>
        <w:jc w:val="right"/>
      </w:pPr>
      <w:tblPr>
        <w:tblBorders/>
      </w:tblPr>
      <w:tcPr>
        <w:shd w:color="ffffff"/>
        <w:tcBorders>
          <w:top w:val="none"/>
          <w:left w:val="none"/>
          <w:bottom w:val="none"/>
          <w:right w:val="single" w:color="000000" w:themeColor="accent2" w:themeTint="97" w:sz="4" w:space="0"/>
        </w:tcBorders>
      </w:tcPr>
    </w:tblStylePr>
    <w:tblStylePr w:type="firstRow">
      <w:rPr>
        <w:rFonts w:ascii="Arial" w:hAnsi="Arial"/>
        <w:i/>
        <w:color w:val="9c3a37" w:themeColor="accent2" w:themeTint="97" w:themeShade="95"/>
        <w:sz w:val="22"/>
      </w:rPr>
      <w:pPr>
        <w:pBdr/>
        <w:spacing/>
        <w:ind/>
      </w:pPr>
      <w:tblPr>
        <w:tblBorders/>
      </w:tblPr>
      <w:tcPr>
        <w:shd w:val="clear" w:color="ffffff" w:themeColor="light1" w:fill="ffffff" w:themeFill="light1"/>
        <w:tcBorders>
          <w:top w:val="none"/>
          <w:left w:val="none"/>
          <w:bottom w:val="single" w:color="000000" w:themeColor="accent2" w:themeTint="97" w:sz="4" w:space="0"/>
          <w:right w:val="none"/>
        </w:tcBorders>
      </w:tcPr>
    </w:tblStylePr>
    <w:tblStylePr w:type="lastCol">
      <w:rPr>
        <w:rFonts w:ascii="Arial" w:hAnsi="Arial"/>
        <w:i/>
        <w:color w:val="9c3a37" w:themeColor="accent2" w:themeTint="97" w:themeShade="95"/>
        <w:sz w:val="22"/>
      </w:rPr>
      <w:pPr>
        <w:pBdr/>
        <w:spacing/>
        <w:ind/>
      </w:pPr>
      <w:tblPr>
        <w:tblBorders/>
      </w:tblPr>
      <w:tcPr>
        <w:shd w:color="ffffff"/>
        <w:tcBorders>
          <w:top w:val="none"/>
          <w:left w:val="single" w:color="000000" w:themeColor="accent2" w:themeTint="97" w:sz="4" w:space="0"/>
          <w:bottom w:val="none"/>
          <w:right w:val="none"/>
        </w:tcBorders>
      </w:tcPr>
    </w:tblStylePr>
    <w:tblStylePr w:type="lastRow">
      <w:rPr>
        <w:rFonts w:ascii="Arial" w:hAnsi="Arial"/>
        <w:i/>
        <w:color w:val="9c3a37" w:themeColor="accent2" w:themeTint="97" w:themeShade="95"/>
        <w:sz w:val="22"/>
      </w:rPr>
      <w:pPr>
        <w:pBdr/>
        <w:spacing/>
        <w:ind/>
      </w:pPr>
      <w:tblPr>
        <w:tblBorders/>
      </w:tblPr>
      <w:tcPr>
        <w:shd w:val="clear" w:color="ffffff" w:themeColor="light1" w:fill="ffffff" w:themeFill="light1"/>
        <w:tcBorders>
          <w:top w:val="single" w:color="000000" w:themeColor="accent2" w:themeTint="97"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9c3a37" w:themeColor="accent2" w:themeTint="97" w:themeShade="95"/>
        <w:sz w:val="22"/>
      </w:rPr>
      <w:pPr>
        <w:pBdr/>
        <w:spacing/>
        <w:ind/>
      </w:pPr>
      <w:tblPr>
        <w:tblBorders/>
      </w:tblPr>
      <w:tcPr>
        <w:tcBorders/>
      </w:tcPr>
    </w:tblStylePr>
  </w:style>
  <w:style w:type="table" w:styleId="149">
    <w:name w:val="List Table 7 Colorful - Accent 3"/>
    <w:basedOn w:val="32"/>
    <w:uiPriority w:val="99"/>
    <w:pPr>
      <w:pBdr/>
      <w:spacing w:after="0" w:line="240" w:lineRule="auto"/>
      <w:ind/>
    </w:pPr>
    <w:tblPr>
      <w:tblStyleRowBandSize w:val="1"/>
      <w:tblStyleColBandSize w:val="1"/>
      <w:tblInd w:w="0" w:type="dxa"/>
      <w:tblBorders>
        <w:right w:val="single" w:color="000000" w:themeColor="accent3" w:themeTint="98" w:sz="4" w:space="0"/>
      </w:tblBorders>
    </w:tblPr>
    <w:tcPr>
      <w:tcBorders/>
    </w:tcPr>
    <w:tblStylePr w:type="band1Horz">
      <w:rPr>
        <w:rFonts w:ascii="Arial" w:hAnsi="Arial"/>
        <w:color w:val="7c983f" w:themeColor="accent3" w:themeTint="98" w:themeShade="95"/>
        <w:sz w:val="22"/>
      </w:rPr>
      <w:pPr>
        <w:pBdr/>
        <w:spacing/>
        <w:ind/>
      </w:pPr>
      <w:tblPr>
        <w:tblBorders/>
      </w:tblPr>
      <w:tcPr>
        <w:shd w:val="clear" w:color="ffffff" w:themeColor="accent3" w:themeTint="40" w:fill="e6eed5" w:themeFill="accent3" w:themeFillTint="40"/>
        <w:tcBorders/>
      </w:tcPr>
    </w:tblStylePr>
    <w:tblStylePr w:type="band1Vert">
      <w:pPr>
        <w:pBdr/>
        <w:spacing/>
        <w:ind/>
      </w:pPr>
      <w:tblPr>
        <w:tblBorders/>
      </w:tblPr>
      <w:tcPr>
        <w:shd w:val="clear" w:color="ffffff" w:themeColor="accent3" w:themeTint="40" w:fill="e6eed5" w:themeFill="accent3" w:themeFillTint="40"/>
        <w:tcBorders/>
      </w:tcPr>
    </w:tblStylePr>
    <w:tblStylePr w:type="band2Horz">
      <w:rPr>
        <w:rFonts w:ascii="Arial" w:hAnsi="Arial"/>
        <w:color w:val="7c983f" w:themeColor="accent3"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7c983f" w:themeColor="accent3" w:themeTint="98" w:themeShade="95"/>
        <w:sz w:val="22"/>
      </w:rPr>
      <w:pPr>
        <w:pBdr/>
        <w:spacing/>
        <w:ind/>
        <w:jc w:val="right"/>
      </w:pPr>
      <w:tblPr>
        <w:tblBorders/>
      </w:tblPr>
      <w:tcPr>
        <w:shd w:color="ffffff"/>
        <w:tcBorders>
          <w:top w:val="none"/>
          <w:left w:val="none"/>
          <w:bottom w:val="none"/>
          <w:right w:val="single" w:color="000000" w:themeColor="accent3" w:themeTint="98" w:sz="4" w:space="0"/>
        </w:tcBorders>
      </w:tcPr>
    </w:tblStylePr>
    <w:tblStylePr w:type="firstRow">
      <w:rPr>
        <w:rFonts w:ascii="Arial" w:hAnsi="Arial"/>
        <w:i/>
        <w:color w:val="7c983f" w:themeColor="accent3" w:themeTint="98" w:themeShade="95"/>
        <w:sz w:val="22"/>
      </w:rPr>
      <w:pPr>
        <w:pBdr/>
        <w:spacing/>
        <w:ind/>
      </w:pPr>
      <w:tblPr>
        <w:tblBorders/>
      </w:tblPr>
      <w:tcPr>
        <w:shd w:val="clear" w:color="ffffff" w:themeColor="light1" w:fill="ffffff" w:themeFill="light1"/>
        <w:tcBorders>
          <w:top w:val="none"/>
          <w:left w:val="none"/>
          <w:bottom w:val="single" w:color="000000" w:themeColor="accent3" w:themeTint="98" w:sz="4" w:space="0"/>
          <w:right w:val="none"/>
        </w:tcBorders>
      </w:tcPr>
    </w:tblStylePr>
    <w:tblStylePr w:type="lastCol">
      <w:rPr>
        <w:rFonts w:ascii="Arial" w:hAnsi="Arial"/>
        <w:i/>
        <w:color w:val="7c983f" w:themeColor="accent3" w:themeTint="98" w:themeShade="95"/>
        <w:sz w:val="22"/>
      </w:rPr>
      <w:pPr>
        <w:pBdr/>
        <w:spacing/>
        <w:ind/>
      </w:pPr>
      <w:tblPr>
        <w:tblBorders/>
      </w:tblPr>
      <w:tcPr>
        <w:shd w:color="ffffff"/>
        <w:tcBorders>
          <w:top w:val="none"/>
          <w:left w:val="single" w:color="000000" w:themeColor="accent3" w:themeTint="98" w:sz="4" w:space="0"/>
          <w:bottom w:val="none"/>
          <w:right w:val="none"/>
        </w:tcBorders>
      </w:tcPr>
    </w:tblStylePr>
    <w:tblStylePr w:type="lastRow">
      <w:rPr>
        <w:rFonts w:ascii="Arial" w:hAnsi="Arial"/>
        <w:i/>
        <w:color w:val="7c983f" w:themeColor="accent3" w:themeTint="98" w:themeShade="95"/>
        <w:sz w:val="22"/>
      </w:rPr>
      <w:pPr>
        <w:pBdr/>
        <w:spacing/>
        <w:ind/>
      </w:pPr>
      <w:tblPr>
        <w:tblBorders/>
      </w:tblPr>
      <w:tcPr>
        <w:shd w:val="clear" w:color="ffffff" w:themeColor="light1" w:fill="ffffff" w:themeFill="light1"/>
        <w:tcBorders>
          <w:top w:val="single" w:color="000000" w:themeColor="accent3" w:themeTint="98"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7c983f" w:themeColor="accent3" w:themeTint="98" w:themeShade="95"/>
        <w:sz w:val="22"/>
      </w:rPr>
      <w:pPr>
        <w:pBdr/>
        <w:spacing/>
        <w:ind/>
      </w:pPr>
      <w:tblPr>
        <w:tblBorders/>
      </w:tblPr>
      <w:tcPr>
        <w:tcBorders/>
      </w:tcPr>
    </w:tblStylePr>
  </w:style>
  <w:style w:type="table" w:styleId="150">
    <w:name w:val="List Table 7 Colorful - Accent 4"/>
    <w:basedOn w:val="32"/>
    <w:uiPriority w:val="99"/>
    <w:pPr>
      <w:pBdr/>
      <w:spacing w:after="0" w:line="240" w:lineRule="auto"/>
      <w:ind/>
    </w:pPr>
    <w:tblPr>
      <w:tblStyleRowBandSize w:val="1"/>
      <w:tblStyleColBandSize w:val="1"/>
      <w:tblInd w:w="0" w:type="dxa"/>
      <w:tblBorders>
        <w:right w:val="single" w:color="000000" w:themeColor="accent4" w:themeTint="9A" w:sz="4" w:space="0"/>
      </w:tblBorders>
    </w:tblPr>
    <w:tcPr>
      <w:tcBorders/>
    </w:tcPr>
    <w:tblStylePr w:type="band1Horz">
      <w:rPr>
        <w:rFonts w:ascii="Arial" w:hAnsi="Arial"/>
        <w:color w:val="664f82" w:themeColor="accent4" w:themeTint="9A" w:themeShade="95"/>
        <w:sz w:val="22"/>
      </w:rPr>
      <w:pPr>
        <w:pBdr/>
        <w:spacing/>
        <w:ind/>
      </w:pPr>
      <w:tblPr>
        <w:tblBorders/>
      </w:tblPr>
      <w:tcPr>
        <w:shd w:val="clear" w:color="ffffff" w:themeColor="accent4" w:themeTint="40" w:fill="dfd8e7" w:themeFill="accent4" w:themeFillTint="40"/>
        <w:tcBorders/>
      </w:tcPr>
    </w:tblStylePr>
    <w:tblStylePr w:type="band1Vert">
      <w:pPr>
        <w:pBdr/>
        <w:spacing/>
        <w:ind/>
      </w:pPr>
      <w:tblPr>
        <w:tblBorders/>
      </w:tblPr>
      <w:tcPr>
        <w:shd w:val="clear" w:color="ffffff" w:themeColor="accent4" w:themeTint="40" w:fill="dfd8e7" w:themeFill="accent4" w:themeFillTint="40"/>
        <w:tcBorders/>
      </w:tcPr>
    </w:tblStylePr>
    <w:tblStylePr w:type="band2Horz">
      <w:rPr>
        <w:rFonts w:ascii="Arial" w:hAnsi="Arial"/>
        <w:color w:val="664f82"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664f82" w:themeColor="accent4" w:themeTint="9A" w:themeShade="95"/>
        <w:sz w:val="22"/>
      </w:rPr>
      <w:pPr>
        <w:pBdr/>
        <w:spacing/>
        <w:ind/>
        <w:jc w:val="right"/>
      </w:pPr>
      <w:tblPr>
        <w:tblBorders/>
      </w:tblPr>
      <w:tcPr>
        <w:shd w:color="ffffff"/>
        <w:tcBorders>
          <w:top w:val="none"/>
          <w:left w:val="none"/>
          <w:bottom w:val="none"/>
          <w:right w:val="single" w:color="000000" w:themeColor="accent4" w:themeTint="9A" w:sz="4" w:space="0"/>
        </w:tcBorders>
      </w:tcPr>
    </w:tblStylePr>
    <w:tblStylePr w:type="firstRow">
      <w:rPr>
        <w:rFonts w:ascii="Arial" w:hAnsi="Arial"/>
        <w:i/>
        <w:color w:val="664f82" w:themeColor="accent4" w:themeTint="9A" w:themeShade="95"/>
        <w:sz w:val="22"/>
      </w:rPr>
      <w:pPr>
        <w:pBdr/>
        <w:spacing/>
        <w:ind/>
      </w:pPr>
      <w:tblPr>
        <w:tblBorders/>
      </w:tblPr>
      <w:tcPr>
        <w:shd w:val="clear" w:color="ffffff" w:themeColor="light1" w:fill="ffffff" w:themeFill="light1"/>
        <w:tcBorders>
          <w:top w:val="none"/>
          <w:left w:val="none"/>
          <w:bottom w:val="single" w:color="000000" w:themeColor="accent4" w:themeTint="9A" w:sz="4" w:space="0"/>
          <w:right w:val="none"/>
        </w:tcBorders>
      </w:tcPr>
    </w:tblStylePr>
    <w:tblStylePr w:type="lastCol">
      <w:rPr>
        <w:rFonts w:ascii="Arial" w:hAnsi="Arial"/>
        <w:i/>
        <w:color w:val="664f82" w:themeColor="accent4" w:themeTint="9A" w:themeShade="95"/>
        <w:sz w:val="22"/>
      </w:rPr>
      <w:pPr>
        <w:pBdr/>
        <w:spacing/>
        <w:ind/>
      </w:pPr>
      <w:tblPr>
        <w:tblBorders/>
      </w:tblPr>
      <w:tcPr>
        <w:shd w:color="ffffff"/>
        <w:tcBorders>
          <w:top w:val="none"/>
          <w:left w:val="single" w:color="000000" w:themeColor="accent4" w:themeTint="9A" w:sz="4" w:space="0"/>
          <w:bottom w:val="none"/>
          <w:right w:val="none"/>
        </w:tcBorders>
      </w:tcPr>
    </w:tblStylePr>
    <w:tblStylePr w:type="lastRow">
      <w:rPr>
        <w:rFonts w:ascii="Arial" w:hAnsi="Arial"/>
        <w:i/>
        <w:color w:val="664f82" w:themeColor="accent4" w:themeTint="9A" w:themeShade="95"/>
        <w:sz w:val="22"/>
      </w:rPr>
      <w:pPr>
        <w:pBdr/>
        <w:spacing/>
        <w:ind/>
      </w:pPr>
      <w:tblPr>
        <w:tblBorders/>
      </w:tblPr>
      <w:tcPr>
        <w:shd w:val="clear" w:color="ffffff" w:themeColor="light1" w:fill="ffffff" w:themeFill="light1"/>
        <w:tcBorders>
          <w:top w:val="single" w:color="000000" w:themeColor="accent4" w:themeTint="9A"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664f82" w:themeColor="accent4" w:themeTint="9A" w:themeShade="95"/>
        <w:sz w:val="22"/>
      </w:rPr>
      <w:pPr>
        <w:pBdr/>
        <w:spacing/>
        <w:ind/>
      </w:pPr>
      <w:tblPr>
        <w:tblBorders/>
      </w:tblPr>
      <w:tcPr>
        <w:tcBorders/>
      </w:tcPr>
    </w:tblStylePr>
  </w:style>
  <w:style w:type="table" w:styleId="151">
    <w:name w:val="List Table 7 Colorful - Accent 5"/>
    <w:basedOn w:val="32"/>
    <w:uiPriority w:val="99"/>
    <w:pPr>
      <w:pBdr/>
      <w:spacing w:after="0" w:line="240" w:lineRule="auto"/>
      <w:ind/>
    </w:pPr>
    <w:tblPr>
      <w:tblStyleRowBandSize w:val="1"/>
      <w:tblStyleColBandSize w:val="1"/>
      <w:tblInd w:w="0" w:type="dxa"/>
      <w:tblBorders>
        <w:right w:val="single" w:color="000000" w:themeColor="accent5" w:themeTint="9A" w:sz="4" w:space="0"/>
      </w:tblBorders>
    </w:tblPr>
    <w:tcPr>
      <w:tcBorders/>
    </w:tcPr>
    <w:tblStylePr w:type="band1Horz">
      <w:rPr>
        <w:rFonts w:ascii="Arial" w:hAnsi="Arial"/>
        <w:color w:val="338aa0" w:themeColor="accent5" w:themeTint="9A" w:themeShade="95"/>
        <w:sz w:val="22"/>
      </w:rPr>
      <w:pPr>
        <w:pBdr/>
        <w:spacing/>
        <w:ind/>
      </w:pPr>
      <w:tblPr>
        <w:tblBorders/>
      </w:tblPr>
      <w:tcPr>
        <w:shd w:val="clear" w:color="ffffff" w:themeColor="accent5" w:themeTint="40" w:fill="d1eaf0" w:themeFill="accent5" w:themeFillTint="40"/>
        <w:tcBorders/>
      </w:tcPr>
    </w:tblStylePr>
    <w:tblStylePr w:type="band1Vert">
      <w:pPr>
        <w:pBdr/>
        <w:spacing/>
        <w:ind/>
      </w:pPr>
      <w:tblPr>
        <w:tblBorders/>
      </w:tblPr>
      <w:tcPr>
        <w:shd w:val="clear" w:color="ffffff" w:themeColor="accent5" w:themeTint="40" w:fill="d1eaf0" w:themeFill="accent5" w:themeFillTint="40"/>
        <w:tcBorders/>
      </w:tcPr>
    </w:tblStylePr>
    <w:tblStylePr w:type="band2Horz">
      <w:rPr>
        <w:rFonts w:ascii="Arial" w:hAnsi="Arial"/>
        <w:color w:val="338aa0" w:themeColor="accent5"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338aa0" w:themeColor="accent5" w:themeTint="9A" w:themeShade="95"/>
        <w:sz w:val="22"/>
      </w:rPr>
      <w:pPr>
        <w:pBdr/>
        <w:spacing/>
        <w:ind/>
        <w:jc w:val="right"/>
      </w:pPr>
      <w:tblPr>
        <w:tblBorders/>
      </w:tblPr>
      <w:tcPr>
        <w:shd w:color="ffffff"/>
        <w:tcBorders>
          <w:top w:val="none"/>
          <w:left w:val="none"/>
          <w:bottom w:val="none"/>
          <w:right w:val="single" w:color="000000" w:themeColor="accent5" w:themeTint="9A" w:sz="4" w:space="0"/>
        </w:tcBorders>
      </w:tcPr>
    </w:tblStylePr>
    <w:tblStylePr w:type="firstRow">
      <w:rPr>
        <w:rFonts w:ascii="Arial" w:hAnsi="Arial"/>
        <w:i/>
        <w:color w:val="338aa0" w:themeColor="accent5" w:themeTint="9A" w:themeShade="95"/>
        <w:sz w:val="22"/>
      </w:rPr>
      <w:pPr>
        <w:pBdr/>
        <w:spacing/>
        <w:ind/>
      </w:pPr>
      <w:tblPr>
        <w:tblBorders/>
      </w:tblPr>
      <w:tcPr>
        <w:shd w:val="clear" w:color="ffffff" w:themeColor="light1" w:fill="ffffff" w:themeFill="light1"/>
        <w:tcBorders>
          <w:top w:val="none"/>
          <w:left w:val="none"/>
          <w:bottom w:val="single" w:color="000000" w:themeColor="accent5" w:themeTint="9A" w:sz="4" w:space="0"/>
          <w:right w:val="none"/>
        </w:tcBorders>
      </w:tcPr>
    </w:tblStylePr>
    <w:tblStylePr w:type="lastCol">
      <w:rPr>
        <w:rFonts w:ascii="Arial" w:hAnsi="Arial"/>
        <w:i/>
        <w:color w:val="338aa0" w:themeColor="accent5" w:themeTint="9A" w:themeShade="95"/>
        <w:sz w:val="22"/>
      </w:rPr>
      <w:pPr>
        <w:pBdr/>
        <w:spacing/>
        <w:ind/>
      </w:pPr>
      <w:tblPr>
        <w:tblBorders/>
      </w:tblPr>
      <w:tcPr>
        <w:shd w:color="ffffff"/>
        <w:tcBorders>
          <w:top w:val="none"/>
          <w:left w:val="single" w:color="000000" w:themeColor="accent5" w:themeTint="9A" w:sz="4" w:space="0"/>
          <w:bottom w:val="none"/>
          <w:right w:val="none"/>
        </w:tcBorders>
      </w:tcPr>
    </w:tblStylePr>
    <w:tblStylePr w:type="lastRow">
      <w:rPr>
        <w:rFonts w:ascii="Arial" w:hAnsi="Arial"/>
        <w:i/>
        <w:color w:val="338aa0" w:themeColor="accent5" w:themeTint="9A" w:themeShade="95"/>
        <w:sz w:val="22"/>
      </w:rPr>
      <w:pPr>
        <w:pBdr/>
        <w:spacing/>
        <w:ind/>
      </w:pPr>
      <w:tblPr>
        <w:tblBorders/>
      </w:tblPr>
      <w:tcPr>
        <w:shd w:val="clear" w:color="ffffff" w:themeColor="light1" w:fill="ffffff" w:themeFill="light1"/>
        <w:tcBorders>
          <w:top w:val="single" w:color="000000" w:themeColor="accent5" w:themeTint="9A"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338aa0" w:themeColor="accent5" w:themeTint="9A" w:themeShade="95"/>
        <w:sz w:val="22"/>
      </w:rPr>
      <w:pPr>
        <w:pBdr/>
        <w:spacing/>
        <w:ind/>
      </w:pPr>
      <w:tblPr>
        <w:tblBorders/>
      </w:tblPr>
      <w:tcPr>
        <w:tcBorders/>
      </w:tcPr>
    </w:tblStylePr>
  </w:style>
  <w:style w:type="table" w:styleId="152">
    <w:name w:val="List Table 7 Colorful - Accent 6"/>
    <w:basedOn w:val="32"/>
    <w:uiPriority w:val="99"/>
    <w:pPr>
      <w:pBdr/>
      <w:spacing w:after="0" w:line="240" w:lineRule="auto"/>
      <w:ind/>
    </w:pPr>
    <w:tblPr>
      <w:tblStyleRowBandSize w:val="1"/>
      <w:tblStyleColBandSize w:val="1"/>
      <w:tblInd w:w="0" w:type="dxa"/>
      <w:tblBorders>
        <w:right w:val="single" w:color="000000" w:themeColor="accent6" w:themeTint="98" w:sz="4" w:space="0"/>
      </w:tblBorders>
    </w:tblPr>
    <w:tcPr>
      <w:tcBorders/>
    </w:tcPr>
    <w:tblStylePr w:type="band1Horz">
      <w:rPr>
        <w:rFonts w:ascii="Arial" w:hAnsi="Arial"/>
        <w:color w:val="d9680c" w:themeColor="accent6" w:themeTint="98" w:themeShade="95"/>
        <w:sz w:val="22"/>
      </w:rPr>
      <w:pPr>
        <w:pBdr/>
        <w:spacing/>
        <w:ind/>
      </w:pPr>
      <w:tblPr>
        <w:tblBorders/>
      </w:tblPr>
      <w:tcPr>
        <w:shd w:val="clear" w:color="ffffff" w:themeColor="accent6" w:themeTint="40" w:fill="fce4d1" w:themeFill="accent6" w:themeFillTint="40"/>
        <w:tcBorders/>
      </w:tcPr>
    </w:tblStylePr>
    <w:tblStylePr w:type="band1Vert">
      <w:pPr>
        <w:pBdr/>
        <w:spacing/>
        <w:ind/>
      </w:pPr>
      <w:tblPr>
        <w:tblBorders/>
      </w:tblPr>
      <w:tcPr>
        <w:shd w:val="clear" w:color="ffffff" w:themeColor="accent6" w:themeTint="40" w:fill="fce4d1" w:themeFill="accent6" w:themeFillTint="40"/>
        <w:tcBorders/>
      </w:tcPr>
    </w:tblStylePr>
    <w:tblStylePr w:type="band2Horz">
      <w:rPr>
        <w:rFonts w:ascii="Arial" w:hAnsi="Arial"/>
        <w:color w:val="d9680c" w:themeColor="accent6"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d9680c" w:themeColor="accent6" w:themeTint="98" w:themeShade="95"/>
        <w:sz w:val="22"/>
      </w:rPr>
      <w:pPr>
        <w:pBdr/>
        <w:spacing/>
        <w:ind/>
        <w:jc w:val="right"/>
      </w:pPr>
      <w:tblPr>
        <w:tblBorders/>
      </w:tblPr>
      <w:tcPr>
        <w:shd w:color="ffffff"/>
        <w:tcBorders>
          <w:top w:val="none"/>
          <w:left w:val="none"/>
          <w:bottom w:val="none"/>
          <w:right w:val="single" w:color="000000" w:themeColor="accent6" w:themeTint="98" w:sz="4" w:space="0"/>
        </w:tcBorders>
      </w:tcPr>
    </w:tblStylePr>
    <w:tblStylePr w:type="firstRow">
      <w:rPr>
        <w:rFonts w:ascii="Arial" w:hAnsi="Arial"/>
        <w:i/>
        <w:color w:val="d9680c" w:themeColor="accent6" w:themeTint="98" w:themeShade="95"/>
        <w:sz w:val="22"/>
      </w:rPr>
      <w:pPr>
        <w:pBdr/>
        <w:spacing/>
        <w:ind/>
      </w:pPr>
      <w:tblPr>
        <w:tblBorders/>
      </w:tblPr>
      <w:tcPr>
        <w:shd w:val="clear" w:color="ffffff" w:themeColor="light1" w:fill="ffffff" w:themeFill="light1"/>
        <w:tcBorders>
          <w:top w:val="none"/>
          <w:left w:val="none"/>
          <w:bottom w:val="single" w:color="000000" w:themeColor="accent6" w:themeTint="98" w:sz="4" w:space="0"/>
          <w:right w:val="none"/>
        </w:tcBorders>
      </w:tcPr>
    </w:tblStylePr>
    <w:tblStylePr w:type="lastCol">
      <w:rPr>
        <w:rFonts w:ascii="Arial" w:hAnsi="Arial"/>
        <w:i/>
        <w:color w:val="d9680c" w:themeColor="accent6" w:themeTint="98" w:themeShade="95"/>
        <w:sz w:val="22"/>
      </w:rPr>
      <w:pPr>
        <w:pBdr/>
        <w:spacing/>
        <w:ind/>
      </w:pPr>
      <w:tblPr>
        <w:tblBorders/>
      </w:tblPr>
      <w:tcPr>
        <w:shd w:color="ffffff"/>
        <w:tcBorders>
          <w:top w:val="none"/>
          <w:left w:val="single" w:color="000000" w:themeColor="accent6" w:themeTint="98" w:sz="4" w:space="0"/>
          <w:bottom w:val="none"/>
          <w:right w:val="none"/>
        </w:tcBorders>
      </w:tcPr>
    </w:tblStylePr>
    <w:tblStylePr w:type="lastRow">
      <w:rPr>
        <w:rFonts w:ascii="Arial" w:hAnsi="Arial"/>
        <w:i/>
        <w:color w:val="d9680c" w:themeColor="accent6" w:themeTint="98" w:themeShade="95"/>
        <w:sz w:val="22"/>
      </w:rPr>
      <w:pPr>
        <w:pBdr/>
        <w:spacing/>
        <w:ind/>
      </w:pPr>
      <w:tblPr>
        <w:tblBorders/>
      </w:tblPr>
      <w:tcPr>
        <w:shd w:val="clear" w:color="ffffff" w:themeColor="light1" w:fill="ffffff" w:themeFill="light1"/>
        <w:tcBorders>
          <w:top w:val="single" w:color="000000" w:themeColor="accent6" w:themeTint="98"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d9680c" w:themeColor="accent6" w:themeTint="98" w:themeShade="95"/>
        <w:sz w:val="22"/>
      </w:rPr>
      <w:pPr>
        <w:pBdr/>
        <w:spacing/>
        <w:ind/>
      </w:pPr>
      <w:tblPr>
        <w:tblBorders/>
      </w:tblPr>
      <w:tcPr>
        <w:tcBorders/>
      </w:tcPr>
    </w:tblStylePr>
  </w:style>
  <w:style w:type="table" w:styleId="153">
    <w:name w:val="Lined - Accent"/>
    <w:basedOn w:val="32"/>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fir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fir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4">
    <w:name w:val="Lined - Accent 1"/>
    <w:basedOn w:val="32"/>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1" w:themeTint="50" w:fill="c7d7ea" w:themeFill="accent1" w:themeFillTint="50"/>
        <w:tcBorders/>
      </w:tcPr>
    </w:tblStylePr>
    <w:tblStylePr w:type="band2Vert">
      <w:rPr>
        <w:rFonts w:ascii="Arial" w:hAnsi="Arial"/>
        <w:color w:val="404040"/>
        <w:sz w:val="22"/>
      </w:rPr>
      <w:pPr>
        <w:pBdr/>
        <w:spacing/>
        <w:ind/>
      </w:pPr>
      <w:tblPr>
        <w:tblBorders/>
      </w:tblPr>
      <w:tcPr>
        <w:shd w:val="clear" w:color="ffffff" w:themeColor="accent1" w:themeTint="50" w:fill="c7d7ea" w:themeFill="accent1" w:themeFillTint="50"/>
        <w:tcBorders/>
      </w:tcPr>
    </w:tblStylePr>
    <w:tblStylePr w:type="firstCol">
      <w:rPr>
        <w:rFonts w:ascii="Arial" w:hAnsi="Arial"/>
        <w:color w:val="f2f2f2"/>
        <w:sz w:val="22"/>
      </w:rPr>
      <w:pPr>
        <w:pBdr/>
        <w:spacing/>
        <w:ind/>
      </w:pPr>
      <w:tblPr>
        <w:tblBorders/>
      </w:tblPr>
      <w:tcPr>
        <w:shd w:val="clear" w:color="ffffff" w:themeColor="accent1" w:themeTint="EA" w:fill="5d8dc2" w:themeFill="accent1" w:themeFillTint="EA"/>
        <w:tcBorders/>
      </w:tcPr>
    </w:tblStylePr>
    <w:tblStylePr w:type="firstRow">
      <w:rPr>
        <w:rFonts w:ascii="Arial" w:hAnsi="Arial"/>
        <w:color w:val="f2f2f2"/>
        <w:sz w:val="22"/>
      </w:rPr>
      <w:pPr>
        <w:pBdr/>
        <w:spacing/>
        <w:ind/>
      </w:pPr>
      <w:tblPr>
        <w:tblBorders/>
      </w:tblPr>
      <w:tcPr>
        <w:shd w:val="clear" w:color="ffffff" w:themeColor="accent1" w:themeTint="EA" w:fill="5d8dc2" w:themeFill="accent1" w:themeFillTint="EA"/>
        <w:tcBorders/>
      </w:tcPr>
    </w:tblStylePr>
    <w:tblStylePr w:type="lastCol">
      <w:rPr>
        <w:rFonts w:ascii="Arial" w:hAnsi="Arial"/>
        <w:color w:val="f2f2f2"/>
        <w:sz w:val="22"/>
      </w:rPr>
      <w:pPr>
        <w:pBdr/>
        <w:spacing/>
        <w:ind/>
      </w:pPr>
      <w:tblPr>
        <w:tblBorders/>
      </w:tblPr>
      <w:tcPr>
        <w:shd w:val="clear" w:color="ffffff" w:themeColor="accent1" w:themeTint="EA" w:fill="5d8dc2" w:themeFill="accent1" w:themeFillTint="EA"/>
        <w:tcBorders/>
      </w:tcPr>
    </w:tblStylePr>
    <w:tblStylePr w:type="lastRow">
      <w:rPr>
        <w:rFonts w:ascii="Arial" w:hAnsi="Arial"/>
        <w:color w:val="f2f2f2"/>
        <w:sz w:val="22"/>
      </w:rPr>
      <w:pPr>
        <w:pBdr/>
        <w:spacing/>
        <w:ind/>
      </w:pPr>
      <w:tblPr>
        <w:tblBorders/>
      </w:tblPr>
      <w:tcPr>
        <w:shd w:val="clear" w:color="ffffff" w:themeColor="accent1" w:themeTint="EA" w:fill="5d8dc2" w:themeFill="accent1" w:themeFillTint="E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5">
    <w:name w:val="Lined - Accent 2"/>
    <w:basedOn w:val="32"/>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2" w:themeTint="32" w:fill="f2dcdb" w:themeFill="accent2" w:themeFillTint="32"/>
        <w:tcBorders/>
      </w:tcPr>
    </w:tblStylePr>
    <w:tblStylePr w:type="band2Vert">
      <w:rPr>
        <w:rFonts w:ascii="Arial" w:hAnsi="Arial"/>
        <w:color w:val="404040"/>
        <w:sz w:val="22"/>
      </w:rPr>
      <w:pPr>
        <w:pBdr/>
        <w:spacing/>
        <w:ind/>
      </w:pPr>
      <w:tblPr>
        <w:tblBorders/>
      </w:tblPr>
      <w:tcPr>
        <w:shd w:val="clear" w:color="ffffff" w:themeColor="accent2" w:themeTint="32" w:fill="f2dcdb" w:themeFill="accent2" w:themeFillTint="32"/>
        <w:tcBorders/>
      </w:tcPr>
    </w:tblStylePr>
    <w:tblStylePr w:type="firstCol">
      <w:rPr>
        <w:rFonts w:ascii="Arial" w:hAnsi="Arial"/>
        <w:color w:val="f2f2f2"/>
        <w:sz w:val="22"/>
      </w:rPr>
      <w:pPr>
        <w:pBdr/>
        <w:spacing/>
        <w:ind/>
      </w:pPr>
      <w:tblPr>
        <w:tblBorders/>
      </w:tblPr>
      <w:tcPr>
        <w:shd w:val="clear" w:color="ffffff" w:themeColor="accent2" w:themeTint="97" w:fill="d99694" w:themeFill="accent2" w:themeFillTint="97"/>
        <w:tcBorders/>
      </w:tcPr>
    </w:tblStylePr>
    <w:tblStylePr w:type="firstRow">
      <w:rPr>
        <w:rFonts w:ascii="Arial" w:hAnsi="Arial"/>
        <w:color w:val="f2f2f2"/>
        <w:sz w:val="22"/>
      </w:rPr>
      <w:pPr>
        <w:pBdr/>
        <w:spacing/>
        <w:ind/>
      </w:pPr>
      <w:tblPr>
        <w:tblBorders/>
      </w:tblPr>
      <w:tcPr>
        <w:shd w:val="clear" w:color="ffffff" w:themeColor="accent2" w:themeTint="97" w:fill="d99694" w:themeFill="accent2" w:themeFillTint="97"/>
        <w:tcBorders/>
      </w:tcPr>
    </w:tblStylePr>
    <w:tblStylePr w:type="lastCol">
      <w:rPr>
        <w:rFonts w:ascii="Arial" w:hAnsi="Arial"/>
        <w:color w:val="f2f2f2"/>
        <w:sz w:val="22"/>
      </w:rPr>
      <w:pPr>
        <w:pBdr/>
        <w:spacing/>
        <w:ind/>
      </w:pPr>
      <w:tblPr>
        <w:tblBorders/>
      </w:tblPr>
      <w:tcPr>
        <w:shd w:val="clear" w:color="ffffff" w:themeColor="accent2" w:themeTint="97" w:fill="d99694" w:themeFill="accent2" w:themeFillTint="97"/>
        <w:tcBorders/>
      </w:tcPr>
    </w:tblStylePr>
    <w:tblStylePr w:type="lastRow">
      <w:rPr>
        <w:rFonts w:ascii="Arial" w:hAnsi="Arial"/>
        <w:color w:val="f2f2f2"/>
        <w:sz w:val="22"/>
      </w:rPr>
      <w:pPr>
        <w:pBdr/>
        <w:spacing/>
        <w:ind/>
      </w:pPr>
      <w:tblPr>
        <w:tblBorders/>
      </w:tblPr>
      <w:tcPr>
        <w:shd w:val="clear" w:color="ffffff" w:themeColor="accent2" w:themeTint="97" w:fill="d99694" w:themeFill="accent2" w:themeFillTint="97"/>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6">
    <w:name w:val="Lined - Accent 3"/>
    <w:basedOn w:val="32"/>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3" w:themeTint="34" w:fill="eaf0dd" w:themeFill="accent3" w:themeFillTint="34"/>
        <w:tcBorders/>
      </w:tcPr>
    </w:tblStylePr>
    <w:tblStylePr w:type="band2Vert">
      <w:rPr>
        <w:rFonts w:ascii="Arial" w:hAnsi="Arial"/>
        <w:color w:val="404040"/>
        <w:sz w:val="22"/>
      </w:rPr>
      <w:pPr>
        <w:pBdr/>
        <w:spacing/>
        <w:ind/>
      </w:pPr>
      <w:tblPr>
        <w:tblBorders/>
      </w:tblPr>
      <w:tcPr>
        <w:shd w:val="clear" w:color="ffffff" w:themeColor="accent3" w:themeTint="34" w:fill="eaf0dd" w:themeFill="accent3" w:themeFillTint="34"/>
        <w:tcBorders/>
      </w:tcPr>
    </w:tblStylePr>
    <w:tblStylePr w:type="firstCol">
      <w:rPr>
        <w:rFonts w:ascii="Arial" w:hAnsi="Arial"/>
        <w:color w:val="f2f2f2"/>
        <w:sz w:val="22"/>
      </w:rPr>
      <w:pPr>
        <w:pBdr/>
        <w:spacing/>
        <w:ind/>
      </w:pPr>
      <w:tblPr>
        <w:tblBorders/>
      </w:tblPr>
      <w:tcPr>
        <w:shd w:val="clear" w:color="ffffff" w:themeColor="accent3" w:themeTint="FE" w:fill="9bba59" w:themeFill="accent3" w:themeFillTint="FE"/>
        <w:tcBorders/>
      </w:tcPr>
    </w:tblStylePr>
    <w:tblStylePr w:type="firstRow">
      <w:rPr>
        <w:rFonts w:ascii="Arial" w:hAnsi="Arial"/>
        <w:color w:val="f2f2f2"/>
        <w:sz w:val="22"/>
      </w:rPr>
      <w:pPr>
        <w:pBdr/>
        <w:spacing/>
        <w:ind/>
      </w:pPr>
      <w:tblPr>
        <w:tblBorders/>
      </w:tblPr>
      <w:tcPr>
        <w:shd w:val="clear" w:color="ffffff" w:themeColor="accent3" w:themeTint="FE" w:fill="9bba59" w:themeFill="accent3" w:themeFillTint="FE"/>
        <w:tcBorders/>
      </w:tcPr>
    </w:tblStylePr>
    <w:tblStylePr w:type="lastCol">
      <w:rPr>
        <w:rFonts w:ascii="Arial" w:hAnsi="Arial"/>
        <w:color w:val="f2f2f2"/>
        <w:sz w:val="22"/>
      </w:rPr>
      <w:pPr>
        <w:pBdr/>
        <w:spacing/>
        <w:ind/>
      </w:pPr>
      <w:tblPr>
        <w:tblBorders/>
      </w:tblPr>
      <w:tcPr>
        <w:shd w:val="clear" w:color="ffffff" w:themeColor="accent3" w:themeTint="FE" w:fill="9bba59" w:themeFill="accent3" w:themeFillTint="FE"/>
        <w:tcBorders/>
      </w:tcPr>
    </w:tblStylePr>
    <w:tblStylePr w:type="lastRow">
      <w:rPr>
        <w:rFonts w:ascii="Arial" w:hAnsi="Arial"/>
        <w:color w:val="f2f2f2"/>
        <w:sz w:val="22"/>
      </w:rPr>
      <w:pPr>
        <w:pBdr/>
        <w:spacing/>
        <w:ind/>
      </w:pPr>
      <w:tblPr>
        <w:tblBorders/>
      </w:tblPr>
      <w:tcPr>
        <w:shd w:val="clear" w:color="ffffff" w:themeColor="accent3" w:themeTint="FE" w:fill="9bba59" w:themeFill="accent3" w:themeFillTint="F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7">
    <w:name w:val="Lined - Accent 4"/>
    <w:basedOn w:val="32"/>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2Vert">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firstCol">
      <w:rPr>
        <w:rFonts w:ascii="Arial" w:hAnsi="Arial"/>
        <w:color w:val="f2f2f2"/>
        <w:sz w:val="22"/>
      </w:rPr>
      <w:pPr>
        <w:pBdr/>
        <w:spacing/>
        <w:ind/>
      </w:pPr>
      <w:tblPr>
        <w:tblBorders/>
      </w:tblPr>
      <w:tcPr>
        <w:shd w:val="clear" w:color="ffffff" w:themeColor="accent4" w:themeTint="9A" w:fill="b2a1c6" w:themeFill="accent4" w:themeFillTint="9A"/>
        <w:tcBorders/>
      </w:tcPr>
    </w:tblStylePr>
    <w:tblStylePr w:type="firstRow">
      <w:rPr>
        <w:rFonts w:ascii="Arial" w:hAnsi="Arial"/>
        <w:color w:val="f2f2f2"/>
        <w:sz w:val="22"/>
      </w:rPr>
      <w:pPr>
        <w:pBdr/>
        <w:spacing/>
        <w:ind/>
      </w:pPr>
      <w:tblPr>
        <w:tblBorders/>
      </w:tblPr>
      <w:tcPr>
        <w:shd w:val="clear" w:color="ffffff" w:themeColor="accent4" w:themeTint="9A" w:fill="b2a1c6" w:themeFill="accent4" w:themeFillTint="9A"/>
        <w:tcBorders/>
      </w:tcPr>
    </w:tblStylePr>
    <w:tblStylePr w:type="lastCol">
      <w:rPr>
        <w:rFonts w:ascii="Arial" w:hAnsi="Arial"/>
        <w:color w:val="f2f2f2"/>
        <w:sz w:val="22"/>
      </w:rPr>
      <w:pPr>
        <w:pBdr/>
        <w:spacing/>
        <w:ind/>
      </w:pPr>
      <w:tblPr>
        <w:tblBorders/>
      </w:tblPr>
      <w:tcPr>
        <w:shd w:val="clear" w:color="ffffff" w:themeColor="accent4" w:themeTint="9A" w:fill="b2a1c6" w:themeFill="accent4" w:themeFillTint="9A"/>
        <w:tcBorders/>
      </w:tcPr>
    </w:tblStylePr>
    <w:tblStylePr w:type="lastRow">
      <w:rPr>
        <w:rFonts w:ascii="Arial" w:hAnsi="Arial"/>
        <w:color w:val="f2f2f2"/>
        <w:sz w:val="22"/>
      </w:rPr>
      <w:pPr>
        <w:pBdr/>
        <w:spacing/>
        <w:ind/>
      </w:pPr>
      <w:tblPr>
        <w:tblBorders/>
      </w:tblPr>
      <w:tcPr>
        <w:shd w:val="clear" w:color="ffffff" w:themeColor="accent4" w:themeTint="9A" w:fill="b2a1c6" w:themeFill="accent4" w:themeFillTint="9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8">
    <w:name w:val="Lined - Accent 5"/>
    <w:basedOn w:val="32"/>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2Vert">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firstCol">
      <w:rPr>
        <w:rFonts w:ascii="Arial" w:hAnsi="Arial"/>
        <w:color w:val="f2f2f2"/>
        <w:sz w:val="22"/>
      </w:rPr>
      <w:pPr>
        <w:pBdr/>
        <w:spacing/>
        <w:ind/>
      </w:pPr>
      <w:tblPr>
        <w:tblBorders/>
      </w:tblPr>
      <w:tcPr>
        <w:shd w:val="clear" w:color="ffffff" w:themeColor="accent5" w:fill="4bacc6" w:themeFill="accent5"/>
        <w:tcBorders/>
      </w:tcPr>
    </w:tblStylePr>
    <w:tblStylePr w:type="firstRow">
      <w:rPr>
        <w:rFonts w:ascii="Arial" w:hAnsi="Arial"/>
        <w:color w:val="f2f2f2"/>
        <w:sz w:val="22"/>
      </w:rPr>
      <w:pPr>
        <w:pBdr/>
        <w:spacing/>
        <w:ind/>
      </w:pPr>
      <w:tblPr>
        <w:tblBorders/>
      </w:tblPr>
      <w:tcPr>
        <w:shd w:val="clear" w:color="ffffff" w:themeColor="accent5" w:fill="4bacc6" w:themeFill="accent5"/>
        <w:tcBorders/>
      </w:tcPr>
    </w:tblStylePr>
    <w:tblStylePr w:type="lastCol">
      <w:rPr>
        <w:rFonts w:ascii="Arial" w:hAnsi="Arial"/>
        <w:color w:val="f2f2f2"/>
        <w:sz w:val="22"/>
      </w:rPr>
      <w:pPr>
        <w:pBdr/>
        <w:spacing/>
        <w:ind/>
      </w:pPr>
      <w:tblPr>
        <w:tblBorders/>
      </w:tblPr>
      <w:tcPr>
        <w:shd w:val="clear" w:color="ffffff" w:themeColor="accent5" w:fill="4bacc6" w:themeFill="accent5"/>
        <w:tcBorders/>
      </w:tcPr>
    </w:tblStylePr>
    <w:tblStylePr w:type="lastRow">
      <w:rPr>
        <w:rFonts w:ascii="Arial" w:hAnsi="Arial"/>
        <w:color w:val="f2f2f2"/>
        <w:sz w:val="22"/>
      </w:rPr>
      <w:pPr>
        <w:pBdr/>
        <w:spacing/>
        <w:ind/>
      </w:pPr>
      <w:tblPr>
        <w:tblBorders/>
      </w:tblPr>
      <w:tcPr>
        <w:shd w:val="clear" w:color="ffffff" w:themeColor="accent5" w:fill="4bacc6" w:themeFill="accent5"/>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9">
    <w:name w:val="Lined - Accent 6"/>
    <w:basedOn w:val="32"/>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6" w:themeTint="34" w:fill="fde9d8" w:themeFill="accent6" w:themeFillTint="34"/>
        <w:tcBorders/>
      </w:tcPr>
    </w:tblStylePr>
    <w:tblStylePr w:type="band2Vert">
      <w:rPr>
        <w:rFonts w:ascii="Arial" w:hAnsi="Arial"/>
        <w:color w:val="404040"/>
        <w:sz w:val="22"/>
      </w:rPr>
      <w:pPr>
        <w:pBdr/>
        <w:spacing/>
        <w:ind/>
      </w:pPr>
      <w:tblPr>
        <w:tblBorders/>
      </w:tblPr>
      <w:tcPr>
        <w:shd w:val="clear" w:color="ffffff" w:themeColor="accent6" w:themeTint="34" w:fill="fde9d8" w:themeFill="accent6" w:themeFillTint="34"/>
        <w:tcBorders/>
      </w:tcPr>
    </w:tblStylePr>
    <w:tblStylePr w:type="firstCol">
      <w:rPr>
        <w:rFonts w:ascii="Arial" w:hAnsi="Arial"/>
        <w:color w:val="f2f2f2"/>
        <w:sz w:val="22"/>
      </w:rPr>
      <w:pPr>
        <w:pBdr/>
        <w:spacing/>
        <w:ind/>
      </w:pPr>
      <w:tblPr>
        <w:tblBorders/>
      </w:tblPr>
      <w:tcPr>
        <w:shd w:val="clear" w:color="ffffff" w:themeColor="accent6" w:fill="f79646" w:themeFill="accent6"/>
        <w:tcBorders/>
      </w:tcPr>
    </w:tblStylePr>
    <w:tblStylePr w:type="firstRow">
      <w:rPr>
        <w:rFonts w:ascii="Arial" w:hAnsi="Arial"/>
        <w:color w:val="f2f2f2"/>
        <w:sz w:val="22"/>
      </w:rPr>
      <w:pPr>
        <w:pBdr/>
        <w:spacing/>
        <w:ind/>
      </w:pPr>
      <w:tblPr>
        <w:tblBorders/>
      </w:tblPr>
      <w:tcPr>
        <w:shd w:val="clear" w:color="ffffff" w:themeColor="accent6" w:fill="f79646" w:themeFill="accent6"/>
        <w:tcBorders/>
      </w:tcPr>
    </w:tblStylePr>
    <w:tblStylePr w:type="lastCol">
      <w:rPr>
        <w:rFonts w:ascii="Arial" w:hAnsi="Arial"/>
        <w:color w:val="f2f2f2"/>
        <w:sz w:val="22"/>
      </w:rPr>
      <w:pPr>
        <w:pBdr/>
        <w:spacing/>
        <w:ind/>
      </w:pPr>
      <w:tblPr>
        <w:tblBorders/>
      </w:tblPr>
      <w:tcPr>
        <w:shd w:val="clear" w:color="ffffff" w:themeColor="accent6" w:fill="f79646" w:themeFill="accent6"/>
        <w:tcBorders/>
      </w:tcPr>
    </w:tblStylePr>
    <w:tblStylePr w:type="lastRow">
      <w:rPr>
        <w:rFonts w:ascii="Arial" w:hAnsi="Arial"/>
        <w:color w:val="f2f2f2"/>
        <w:sz w:val="22"/>
      </w:rPr>
      <w:pPr>
        <w:pBdr/>
        <w:spacing/>
        <w:ind/>
      </w:pPr>
      <w:tblPr>
        <w:tblBorders/>
      </w:tblPr>
      <w:tcPr>
        <w:shd w:val="clear" w:color="ffffff" w:themeColor="accent6" w:fill="f79646" w:themeFill="accent6"/>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0">
    <w:name w:val="Bordered &amp; Lined - Accent"/>
    <w:basedOn w:val="32"/>
    <w:uiPriority w:val="99"/>
    <w:pPr>
      <w:pBdr/>
      <w:spacing w:after="0" w:line="240" w:lineRule="auto"/>
      <w:ind/>
    </w:pPr>
    <w:rPr>
      <w:color w:val="404040"/>
    </w:rPr>
    <w:tblPr>
      <w:tblStyleRowBandSize w:val="1"/>
      <w:tblStyleColBandSize w:val="1"/>
      <w:tblInd w:w="0" w:type="dxa"/>
      <w:tblBorders>
        <w:top w:val="single" w:color="000000" w:themeColor="text1" w:themeTint="A6" w:sz="4" w:space="0"/>
        <w:left w:val="single" w:color="000000" w:themeColor="text1" w:themeTint="A6" w:sz="4" w:space="0"/>
        <w:bottom w:val="single" w:color="000000" w:themeColor="text1" w:themeTint="A6" w:sz="4" w:space="0"/>
        <w:right w:val="single" w:color="000000" w:themeColor="text1" w:themeTint="A6" w:sz="4" w:space="0"/>
        <w:insideH w:val="single" w:color="000000" w:themeColor="text1" w:themeTint="A6" w:sz="4" w:space="0"/>
        <w:insideV w:val="single" w:color="000000" w:themeColor="text1" w:themeTint="A6"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fir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fir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1">
    <w:name w:val="Bordered &amp; Lined - Accent 1"/>
    <w:basedOn w:val="32"/>
    <w:uiPriority w:val="99"/>
    <w:pPr>
      <w:pBdr/>
      <w:spacing w:after="0" w:line="240" w:lineRule="auto"/>
      <w:ind/>
    </w:pPr>
    <w:rPr>
      <w:color w:val="404040"/>
    </w:rPr>
    <w:tblPr>
      <w:tblStyleRowBandSize w:val="1"/>
      <w:tblStyleColBandSize w:val="1"/>
      <w:tblInd w:w="0" w:type="dxa"/>
      <w:tblBorders>
        <w:top w:val="single" w:color="000000" w:themeColor="accent1" w:themeShade="95" w:sz="4" w:space="0"/>
        <w:left w:val="single" w:color="000000" w:themeColor="accent1" w:themeShade="95" w:sz="4" w:space="0"/>
        <w:bottom w:val="single" w:color="000000" w:themeColor="accent1" w:themeShade="95" w:sz="4" w:space="0"/>
        <w:right w:val="single" w:color="000000" w:themeColor="accent1" w:themeShade="95" w:sz="4" w:space="0"/>
        <w:insideH w:val="single" w:color="000000" w:themeColor="accent1" w:themeShade="95" w:sz="4" w:space="0"/>
        <w:insideV w:val="single" w:color="000000" w:themeColor="accent1"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1" w:themeTint="50" w:fill="c7d7ea" w:themeFill="accent1" w:themeFillTint="50"/>
        <w:tcBorders/>
      </w:tcPr>
    </w:tblStylePr>
    <w:tblStylePr w:type="band2Vert">
      <w:rPr>
        <w:rFonts w:ascii="Arial" w:hAnsi="Arial"/>
        <w:color w:val="404040"/>
        <w:sz w:val="22"/>
      </w:rPr>
      <w:pPr>
        <w:pBdr/>
        <w:spacing/>
        <w:ind/>
      </w:pPr>
      <w:tblPr>
        <w:tblBorders/>
      </w:tblPr>
      <w:tcPr>
        <w:shd w:val="clear" w:color="ffffff" w:themeColor="accent1" w:themeTint="50" w:fill="c7d7ea" w:themeFill="accent1" w:themeFillTint="50"/>
        <w:tcBorders/>
      </w:tcPr>
    </w:tblStylePr>
    <w:tblStylePr w:type="firstCol">
      <w:rPr>
        <w:rFonts w:ascii="Arial" w:hAnsi="Arial"/>
        <w:color w:val="f2f2f2"/>
        <w:sz w:val="22"/>
      </w:rPr>
      <w:pPr>
        <w:pBdr/>
        <w:spacing/>
        <w:ind/>
      </w:pPr>
      <w:tblPr>
        <w:tblBorders/>
      </w:tblPr>
      <w:tcPr>
        <w:shd w:val="clear" w:color="ffffff" w:themeColor="accent1" w:themeTint="EA" w:fill="5d8dc2" w:themeFill="accent1" w:themeFillTint="EA"/>
        <w:tcBorders/>
      </w:tcPr>
    </w:tblStylePr>
    <w:tblStylePr w:type="firstRow">
      <w:rPr>
        <w:rFonts w:ascii="Arial" w:hAnsi="Arial"/>
        <w:color w:val="f2f2f2"/>
        <w:sz w:val="22"/>
      </w:rPr>
      <w:pPr>
        <w:pBdr/>
        <w:spacing/>
        <w:ind/>
      </w:pPr>
      <w:tblPr>
        <w:tblBorders/>
      </w:tblPr>
      <w:tcPr>
        <w:shd w:val="clear" w:color="ffffff" w:themeColor="accent1" w:themeTint="EA" w:fill="5d8dc2" w:themeFill="accent1" w:themeFillTint="EA"/>
        <w:tcBorders/>
      </w:tcPr>
    </w:tblStylePr>
    <w:tblStylePr w:type="lastCol">
      <w:rPr>
        <w:rFonts w:ascii="Arial" w:hAnsi="Arial"/>
        <w:color w:val="f2f2f2"/>
        <w:sz w:val="22"/>
      </w:rPr>
      <w:pPr>
        <w:pBdr/>
        <w:spacing/>
        <w:ind/>
      </w:pPr>
      <w:tblPr>
        <w:tblBorders/>
      </w:tblPr>
      <w:tcPr>
        <w:shd w:val="clear" w:color="ffffff" w:themeColor="accent1" w:themeTint="EA" w:fill="5d8dc2" w:themeFill="accent1" w:themeFillTint="EA"/>
        <w:tcBorders/>
      </w:tcPr>
    </w:tblStylePr>
    <w:tblStylePr w:type="lastRow">
      <w:rPr>
        <w:rFonts w:ascii="Arial" w:hAnsi="Arial"/>
        <w:color w:val="f2f2f2"/>
        <w:sz w:val="22"/>
      </w:rPr>
      <w:pPr>
        <w:pBdr/>
        <w:spacing/>
        <w:ind/>
      </w:pPr>
      <w:tblPr>
        <w:tblBorders/>
      </w:tblPr>
      <w:tcPr>
        <w:shd w:val="clear" w:color="ffffff" w:themeColor="accent1" w:themeTint="EA" w:fill="5d8dc2" w:themeFill="accent1" w:themeFillTint="E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2">
    <w:name w:val="Bordered &amp; Lined - Accent 2"/>
    <w:basedOn w:val="32"/>
    <w:uiPriority w:val="99"/>
    <w:pPr>
      <w:pBdr/>
      <w:spacing w:after="0" w:line="240" w:lineRule="auto"/>
      <w:ind/>
    </w:pPr>
    <w:rPr>
      <w:color w:val="404040"/>
    </w:rPr>
    <w:tblPr>
      <w:tblStyleRowBandSize w:val="1"/>
      <w:tblStyleColBandSize w:val="1"/>
      <w:tblInd w:w="0" w:type="dxa"/>
      <w:tblBorders>
        <w:top w:val="single" w:color="000000" w:themeColor="accent2" w:themeShade="95" w:sz="4" w:space="0"/>
        <w:left w:val="single" w:color="000000" w:themeColor="accent2" w:themeShade="95" w:sz="4" w:space="0"/>
        <w:bottom w:val="single" w:color="000000" w:themeColor="accent2" w:themeShade="95" w:sz="4" w:space="0"/>
        <w:right w:val="single" w:color="000000" w:themeColor="accent2" w:themeShade="95" w:sz="4" w:space="0"/>
        <w:insideH w:val="single" w:color="000000" w:themeColor="accent2" w:themeShade="95" w:sz="4" w:space="0"/>
        <w:insideV w:val="single" w:color="000000" w:themeColor="accent2"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2" w:themeTint="32" w:fill="f2dcdb" w:themeFill="accent2" w:themeFillTint="32"/>
        <w:tcBorders/>
      </w:tcPr>
    </w:tblStylePr>
    <w:tblStylePr w:type="band2Vert">
      <w:rPr>
        <w:rFonts w:ascii="Arial" w:hAnsi="Arial"/>
        <w:color w:val="404040"/>
        <w:sz w:val="22"/>
      </w:rPr>
      <w:pPr>
        <w:pBdr/>
        <w:spacing/>
        <w:ind/>
      </w:pPr>
      <w:tblPr>
        <w:tblBorders/>
      </w:tblPr>
      <w:tcPr>
        <w:shd w:val="clear" w:color="ffffff" w:themeColor="accent2" w:themeTint="32" w:fill="f2dcdb" w:themeFill="accent2" w:themeFillTint="32"/>
        <w:tcBorders/>
      </w:tcPr>
    </w:tblStylePr>
    <w:tblStylePr w:type="firstCol">
      <w:rPr>
        <w:rFonts w:ascii="Arial" w:hAnsi="Arial"/>
        <w:color w:val="f2f2f2"/>
        <w:sz w:val="22"/>
      </w:rPr>
      <w:pPr>
        <w:pBdr/>
        <w:spacing/>
        <w:ind/>
      </w:pPr>
      <w:tblPr>
        <w:tblBorders/>
      </w:tblPr>
      <w:tcPr>
        <w:shd w:val="clear" w:color="ffffff" w:themeColor="accent2" w:themeTint="97" w:fill="d99694" w:themeFill="accent2" w:themeFillTint="97"/>
        <w:tcBorders/>
      </w:tcPr>
    </w:tblStylePr>
    <w:tblStylePr w:type="firstRow">
      <w:rPr>
        <w:rFonts w:ascii="Arial" w:hAnsi="Arial"/>
        <w:color w:val="f2f2f2"/>
        <w:sz w:val="22"/>
      </w:rPr>
      <w:pPr>
        <w:pBdr/>
        <w:spacing/>
        <w:ind/>
      </w:pPr>
      <w:tblPr>
        <w:tblBorders/>
      </w:tblPr>
      <w:tcPr>
        <w:shd w:val="clear" w:color="ffffff" w:themeColor="accent2" w:themeTint="97" w:fill="d99694" w:themeFill="accent2" w:themeFillTint="97"/>
        <w:tcBorders/>
      </w:tcPr>
    </w:tblStylePr>
    <w:tblStylePr w:type="lastCol">
      <w:rPr>
        <w:rFonts w:ascii="Arial" w:hAnsi="Arial"/>
        <w:color w:val="f2f2f2"/>
        <w:sz w:val="22"/>
      </w:rPr>
      <w:pPr>
        <w:pBdr/>
        <w:spacing/>
        <w:ind/>
      </w:pPr>
      <w:tblPr>
        <w:tblBorders/>
      </w:tblPr>
      <w:tcPr>
        <w:shd w:val="clear" w:color="ffffff" w:themeColor="accent2" w:themeTint="97" w:fill="d99694" w:themeFill="accent2" w:themeFillTint="97"/>
        <w:tcBorders/>
      </w:tcPr>
    </w:tblStylePr>
    <w:tblStylePr w:type="lastRow">
      <w:rPr>
        <w:rFonts w:ascii="Arial" w:hAnsi="Arial"/>
        <w:color w:val="f2f2f2"/>
        <w:sz w:val="22"/>
      </w:rPr>
      <w:pPr>
        <w:pBdr/>
        <w:spacing/>
        <w:ind/>
      </w:pPr>
      <w:tblPr>
        <w:tblBorders/>
      </w:tblPr>
      <w:tcPr>
        <w:shd w:val="clear" w:color="ffffff" w:themeColor="accent2" w:themeTint="97" w:fill="d99694" w:themeFill="accent2" w:themeFillTint="97"/>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3">
    <w:name w:val="Bordered &amp; Lined - Accent 3"/>
    <w:basedOn w:val="32"/>
    <w:uiPriority w:val="99"/>
    <w:pPr>
      <w:pBdr/>
      <w:spacing w:after="0" w:line="240" w:lineRule="auto"/>
      <w:ind/>
    </w:pPr>
    <w:rPr>
      <w:color w:val="404040"/>
    </w:rPr>
    <w:tblPr>
      <w:tblStyleRowBandSize w:val="1"/>
      <w:tblStyleColBandSize w:val="1"/>
      <w:tblInd w:w="0" w:type="dxa"/>
      <w:tblBorders>
        <w:top w:val="single" w:color="000000" w:themeColor="accent3" w:themeShade="95" w:sz="4" w:space="0"/>
        <w:left w:val="single" w:color="000000" w:themeColor="accent3" w:themeShade="95" w:sz="4" w:space="0"/>
        <w:bottom w:val="single" w:color="000000" w:themeColor="accent3" w:themeShade="95" w:sz="4" w:space="0"/>
        <w:right w:val="single" w:color="000000" w:themeColor="accent3" w:themeShade="95" w:sz="4" w:space="0"/>
        <w:insideH w:val="single" w:color="000000" w:themeColor="accent3" w:themeShade="95" w:sz="4" w:space="0"/>
        <w:insideV w:val="single" w:color="000000" w:themeColor="accent3"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3" w:themeTint="34" w:fill="eaf0dd" w:themeFill="accent3" w:themeFillTint="34"/>
        <w:tcBorders/>
      </w:tcPr>
    </w:tblStylePr>
    <w:tblStylePr w:type="band2Vert">
      <w:rPr>
        <w:rFonts w:ascii="Arial" w:hAnsi="Arial"/>
        <w:color w:val="404040"/>
        <w:sz w:val="22"/>
      </w:rPr>
      <w:pPr>
        <w:pBdr/>
        <w:spacing/>
        <w:ind/>
      </w:pPr>
      <w:tblPr>
        <w:tblBorders/>
      </w:tblPr>
      <w:tcPr>
        <w:shd w:val="clear" w:color="ffffff" w:themeColor="accent3" w:themeTint="34" w:fill="eaf0dd" w:themeFill="accent3" w:themeFillTint="34"/>
        <w:tcBorders/>
      </w:tcPr>
    </w:tblStylePr>
    <w:tblStylePr w:type="firstCol">
      <w:rPr>
        <w:rFonts w:ascii="Arial" w:hAnsi="Arial"/>
        <w:color w:val="f2f2f2"/>
        <w:sz w:val="22"/>
      </w:rPr>
      <w:pPr>
        <w:pBdr/>
        <w:spacing/>
        <w:ind/>
      </w:pPr>
      <w:tblPr>
        <w:tblBorders/>
      </w:tblPr>
      <w:tcPr>
        <w:shd w:val="clear" w:color="ffffff" w:themeColor="accent3" w:themeTint="FE" w:fill="9bba59" w:themeFill="accent3" w:themeFillTint="FE"/>
        <w:tcBorders/>
      </w:tcPr>
    </w:tblStylePr>
    <w:tblStylePr w:type="firstRow">
      <w:rPr>
        <w:rFonts w:ascii="Arial" w:hAnsi="Arial"/>
        <w:color w:val="f2f2f2"/>
        <w:sz w:val="22"/>
      </w:rPr>
      <w:pPr>
        <w:pBdr/>
        <w:spacing/>
        <w:ind/>
      </w:pPr>
      <w:tblPr>
        <w:tblBorders/>
      </w:tblPr>
      <w:tcPr>
        <w:shd w:val="clear" w:color="ffffff" w:themeColor="accent3" w:themeTint="FE" w:fill="9bba59" w:themeFill="accent3" w:themeFillTint="FE"/>
        <w:tcBorders/>
      </w:tcPr>
    </w:tblStylePr>
    <w:tblStylePr w:type="lastCol">
      <w:rPr>
        <w:rFonts w:ascii="Arial" w:hAnsi="Arial"/>
        <w:color w:val="f2f2f2"/>
        <w:sz w:val="22"/>
      </w:rPr>
      <w:pPr>
        <w:pBdr/>
        <w:spacing/>
        <w:ind/>
      </w:pPr>
      <w:tblPr>
        <w:tblBorders/>
      </w:tblPr>
      <w:tcPr>
        <w:shd w:val="clear" w:color="ffffff" w:themeColor="accent3" w:themeTint="FE" w:fill="9bba59" w:themeFill="accent3" w:themeFillTint="FE"/>
        <w:tcBorders/>
      </w:tcPr>
    </w:tblStylePr>
    <w:tblStylePr w:type="lastRow">
      <w:rPr>
        <w:rFonts w:ascii="Arial" w:hAnsi="Arial"/>
        <w:color w:val="f2f2f2"/>
        <w:sz w:val="22"/>
      </w:rPr>
      <w:pPr>
        <w:pBdr/>
        <w:spacing/>
        <w:ind/>
      </w:pPr>
      <w:tblPr>
        <w:tblBorders/>
      </w:tblPr>
      <w:tcPr>
        <w:shd w:val="clear" w:color="ffffff" w:themeColor="accent3" w:themeTint="FE" w:fill="9bba59" w:themeFill="accent3" w:themeFillTint="F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4">
    <w:name w:val="Bordered &amp; Lined - Accent 4"/>
    <w:basedOn w:val="32"/>
    <w:uiPriority w:val="99"/>
    <w:pPr>
      <w:pBdr/>
      <w:spacing w:after="0" w:line="240" w:lineRule="auto"/>
      <w:ind/>
    </w:pPr>
    <w:rPr>
      <w:color w:val="404040"/>
    </w:rPr>
    <w:tblPr>
      <w:tblStyleRowBandSize w:val="1"/>
      <w:tblStyleColBandSize w:val="1"/>
      <w:tblInd w:w="0" w:type="dxa"/>
      <w:tblBorders>
        <w:top w:val="single" w:color="000000" w:themeColor="accent4" w:themeShade="95" w:sz="4" w:space="0"/>
        <w:left w:val="single" w:color="000000" w:themeColor="accent4" w:themeShade="95" w:sz="4" w:space="0"/>
        <w:bottom w:val="single" w:color="000000" w:themeColor="accent4" w:themeShade="95" w:sz="4" w:space="0"/>
        <w:right w:val="single" w:color="000000" w:themeColor="accent4" w:themeShade="95" w:sz="4" w:space="0"/>
        <w:insideH w:val="single" w:color="000000" w:themeColor="accent4" w:themeShade="95" w:sz="4" w:space="0"/>
        <w:insideV w:val="single" w:color="000000" w:themeColor="accent4"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2Vert">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firstCol">
      <w:rPr>
        <w:rFonts w:ascii="Arial" w:hAnsi="Arial"/>
        <w:color w:val="f2f2f2"/>
        <w:sz w:val="22"/>
      </w:rPr>
      <w:pPr>
        <w:pBdr/>
        <w:spacing/>
        <w:ind/>
      </w:pPr>
      <w:tblPr>
        <w:tblBorders/>
      </w:tblPr>
      <w:tcPr>
        <w:shd w:val="clear" w:color="ffffff" w:themeColor="accent4" w:themeTint="9A" w:fill="b2a1c6" w:themeFill="accent4" w:themeFillTint="9A"/>
        <w:tcBorders/>
      </w:tcPr>
    </w:tblStylePr>
    <w:tblStylePr w:type="firstRow">
      <w:rPr>
        <w:rFonts w:ascii="Arial" w:hAnsi="Arial"/>
        <w:color w:val="f2f2f2"/>
        <w:sz w:val="22"/>
      </w:rPr>
      <w:pPr>
        <w:pBdr/>
        <w:spacing/>
        <w:ind/>
      </w:pPr>
      <w:tblPr>
        <w:tblBorders/>
      </w:tblPr>
      <w:tcPr>
        <w:shd w:val="clear" w:color="ffffff" w:themeColor="accent4" w:themeTint="9A" w:fill="b2a1c6" w:themeFill="accent4" w:themeFillTint="9A"/>
        <w:tcBorders/>
      </w:tcPr>
    </w:tblStylePr>
    <w:tblStylePr w:type="lastCol">
      <w:rPr>
        <w:rFonts w:ascii="Arial" w:hAnsi="Arial"/>
        <w:color w:val="f2f2f2"/>
        <w:sz w:val="22"/>
      </w:rPr>
      <w:pPr>
        <w:pBdr/>
        <w:spacing/>
        <w:ind/>
      </w:pPr>
      <w:tblPr>
        <w:tblBorders/>
      </w:tblPr>
      <w:tcPr>
        <w:shd w:val="clear" w:color="ffffff" w:themeColor="accent4" w:themeTint="9A" w:fill="b2a1c6" w:themeFill="accent4" w:themeFillTint="9A"/>
        <w:tcBorders/>
      </w:tcPr>
    </w:tblStylePr>
    <w:tblStylePr w:type="lastRow">
      <w:rPr>
        <w:rFonts w:ascii="Arial" w:hAnsi="Arial"/>
        <w:color w:val="f2f2f2"/>
        <w:sz w:val="22"/>
      </w:rPr>
      <w:pPr>
        <w:pBdr/>
        <w:spacing/>
        <w:ind/>
      </w:pPr>
      <w:tblPr>
        <w:tblBorders/>
      </w:tblPr>
      <w:tcPr>
        <w:shd w:val="clear" w:color="ffffff" w:themeColor="accent4" w:themeTint="9A" w:fill="b2a1c6" w:themeFill="accent4" w:themeFillTint="9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5">
    <w:name w:val="Bordered &amp; Lined - Accent 5"/>
    <w:basedOn w:val="32"/>
    <w:uiPriority w:val="99"/>
    <w:pPr>
      <w:pBdr/>
      <w:spacing w:after="0" w:line="240" w:lineRule="auto"/>
      <w:ind/>
    </w:pPr>
    <w:rPr>
      <w:color w:val="404040"/>
    </w:rPr>
    <w:tblPr>
      <w:tblStyleRowBandSize w:val="1"/>
      <w:tblStyleColBandSize w:val="1"/>
      <w:tblInd w:w="0" w:type="dxa"/>
      <w:tblBorders>
        <w:top w:val="single" w:color="000000" w:themeColor="accent5" w:themeShade="95" w:sz="4" w:space="0"/>
        <w:left w:val="single" w:color="000000" w:themeColor="accent5" w:themeShade="95" w:sz="4" w:space="0"/>
        <w:bottom w:val="single" w:color="000000" w:themeColor="accent5" w:themeShade="95" w:sz="4" w:space="0"/>
        <w:right w:val="single" w:color="000000" w:themeColor="accent5" w:themeShade="95" w:sz="4" w:space="0"/>
        <w:insideH w:val="single" w:color="000000" w:themeColor="accent5" w:themeShade="95" w:sz="4" w:space="0"/>
        <w:insideV w:val="single" w:color="000000" w:themeColor="accent5"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2Vert">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firstCol">
      <w:rPr>
        <w:rFonts w:ascii="Arial" w:hAnsi="Arial"/>
        <w:color w:val="f2f2f2"/>
        <w:sz w:val="22"/>
      </w:rPr>
      <w:pPr>
        <w:pBdr/>
        <w:spacing/>
        <w:ind/>
      </w:pPr>
      <w:tblPr>
        <w:tblBorders/>
      </w:tblPr>
      <w:tcPr>
        <w:shd w:val="clear" w:color="ffffff" w:themeColor="accent5" w:fill="4bacc6" w:themeFill="accent5"/>
        <w:tcBorders/>
      </w:tcPr>
    </w:tblStylePr>
    <w:tblStylePr w:type="firstRow">
      <w:rPr>
        <w:rFonts w:ascii="Arial" w:hAnsi="Arial"/>
        <w:color w:val="f2f2f2"/>
        <w:sz w:val="22"/>
      </w:rPr>
      <w:pPr>
        <w:pBdr/>
        <w:spacing/>
        <w:ind/>
      </w:pPr>
      <w:tblPr>
        <w:tblBorders/>
      </w:tblPr>
      <w:tcPr>
        <w:shd w:val="clear" w:color="ffffff" w:themeColor="accent5" w:fill="4bacc6" w:themeFill="accent5"/>
        <w:tcBorders/>
      </w:tcPr>
    </w:tblStylePr>
    <w:tblStylePr w:type="lastCol">
      <w:rPr>
        <w:rFonts w:ascii="Arial" w:hAnsi="Arial"/>
        <w:color w:val="f2f2f2"/>
        <w:sz w:val="22"/>
      </w:rPr>
      <w:pPr>
        <w:pBdr/>
        <w:spacing/>
        <w:ind/>
      </w:pPr>
      <w:tblPr>
        <w:tblBorders/>
      </w:tblPr>
      <w:tcPr>
        <w:shd w:val="clear" w:color="ffffff" w:themeColor="accent5" w:fill="4bacc6" w:themeFill="accent5"/>
        <w:tcBorders/>
      </w:tcPr>
    </w:tblStylePr>
    <w:tblStylePr w:type="lastRow">
      <w:rPr>
        <w:rFonts w:ascii="Arial" w:hAnsi="Arial"/>
        <w:color w:val="f2f2f2"/>
        <w:sz w:val="22"/>
      </w:rPr>
      <w:pPr>
        <w:pBdr/>
        <w:spacing/>
        <w:ind/>
      </w:pPr>
      <w:tblPr>
        <w:tblBorders/>
      </w:tblPr>
      <w:tcPr>
        <w:shd w:val="clear" w:color="ffffff" w:themeColor="accent5" w:fill="4bacc6" w:themeFill="accent5"/>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6">
    <w:name w:val="Bordered &amp; Lined - Accent 6"/>
    <w:basedOn w:val="32"/>
    <w:uiPriority w:val="99"/>
    <w:pPr>
      <w:pBdr/>
      <w:spacing w:after="0" w:line="240" w:lineRule="auto"/>
      <w:ind/>
    </w:pPr>
    <w:rPr>
      <w:color w:val="404040"/>
    </w:rPr>
    <w:tblPr>
      <w:tblStyleRowBandSize w:val="1"/>
      <w:tblStyleColBandSize w:val="1"/>
      <w:tblInd w:w="0" w:type="dxa"/>
      <w:tblBorders>
        <w:top w:val="single" w:color="000000" w:themeColor="accent6" w:themeShade="95" w:sz="4" w:space="0"/>
        <w:left w:val="single" w:color="000000" w:themeColor="accent6" w:themeShade="95" w:sz="4" w:space="0"/>
        <w:bottom w:val="single" w:color="000000" w:themeColor="accent6" w:themeShade="95" w:sz="4" w:space="0"/>
        <w:right w:val="single" w:color="000000" w:themeColor="accent6" w:themeShade="95" w:sz="4" w:space="0"/>
        <w:insideH w:val="single" w:color="000000" w:themeColor="accent6" w:themeShade="95" w:sz="4" w:space="0"/>
        <w:insideV w:val="single" w:color="000000" w:themeColor="accent6"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6" w:themeTint="34" w:fill="fde9d8" w:themeFill="accent6" w:themeFillTint="34"/>
        <w:tcBorders/>
      </w:tcPr>
    </w:tblStylePr>
    <w:tblStylePr w:type="band2Vert">
      <w:rPr>
        <w:rFonts w:ascii="Arial" w:hAnsi="Arial"/>
        <w:color w:val="404040"/>
        <w:sz w:val="22"/>
      </w:rPr>
      <w:pPr>
        <w:pBdr/>
        <w:spacing/>
        <w:ind/>
      </w:pPr>
      <w:tblPr>
        <w:tblBorders/>
      </w:tblPr>
      <w:tcPr>
        <w:shd w:val="clear" w:color="ffffff" w:themeColor="accent6" w:themeTint="34" w:fill="fde9d8" w:themeFill="accent6" w:themeFillTint="34"/>
        <w:tcBorders/>
      </w:tcPr>
    </w:tblStylePr>
    <w:tblStylePr w:type="firstCol">
      <w:rPr>
        <w:rFonts w:ascii="Arial" w:hAnsi="Arial"/>
        <w:color w:val="f2f2f2"/>
        <w:sz w:val="22"/>
      </w:rPr>
      <w:pPr>
        <w:pBdr/>
        <w:spacing/>
        <w:ind/>
      </w:pPr>
      <w:tblPr>
        <w:tblBorders/>
      </w:tblPr>
      <w:tcPr>
        <w:shd w:val="clear" w:color="ffffff" w:themeColor="accent6" w:fill="f79646" w:themeFill="accent6"/>
        <w:tcBorders/>
      </w:tcPr>
    </w:tblStylePr>
    <w:tblStylePr w:type="firstRow">
      <w:rPr>
        <w:rFonts w:ascii="Arial" w:hAnsi="Arial"/>
        <w:color w:val="f2f2f2"/>
        <w:sz w:val="22"/>
      </w:rPr>
      <w:pPr>
        <w:pBdr/>
        <w:spacing/>
        <w:ind/>
      </w:pPr>
      <w:tblPr>
        <w:tblBorders/>
      </w:tblPr>
      <w:tcPr>
        <w:shd w:val="clear" w:color="ffffff" w:themeColor="accent6" w:fill="f79646" w:themeFill="accent6"/>
        <w:tcBorders/>
      </w:tcPr>
    </w:tblStylePr>
    <w:tblStylePr w:type="lastCol">
      <w:rPr>
        <w:rFonts w:ascii="Arial" w:hAnsi="Arial"/>
        <w:color w:val="f2f2f2"/>
        <w:sz w:val="22"/>
      </w:rPr>
      <w:pPr>
        <w:pBdr/>
        <w:spacing/>
        <w:ind/>
      </w:pPr>
      <w:tblPr>
        <w:tblBorders/>
      </w:tblPr>
      <w:tcPr>
        <w:shd w:val="clear" w:color="ffffff" w:themeColor="accent6" w:fill="f79646" w:themeFill="accent6"/>
        <w:tcBorders/>
      </w:tcPr>
    </w:tblStylePr>
    <w:tblStylePr w:type="lastRow">
      <w:rPr>
        <w:rFonts w:ascii="Arial" w:hAnsi="Arial"/>
        <w:color w:val="f2f2f2"/>
        <w:sz w:val="22"/>
      </w:rPr>
      <w:pPr>
        <w:pBdr/>
        <w:spacing/>
        <w:ind/>
      </w:pPr>
      <w:tblPr>
        <w:tblBorders/>
      </w:tblPr>
      <w:tcPr>
        <w:shd w:val="clear" w:color="ffffff" w:themeColor="accent6" w:fill="f79646" w:themeFill="accent6"/>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7">
    <w:name w:val="Bordered"/>
    <w:basedOn w:val="32"/>
    <w:uiPriority w:val="99"/>
    <w:pPr>
      <w:pBdr/>
      <w:spacing w:after="0" w:line="240" w:lineRule="auto"/>
      <w:ind/>
    </w:pPr>
    <w:tblPr>
      <w:tblStyleRowBandSize w:val="1"/>
      <w:tblStyleColBandSize w:val="1"/>
      <w:tblInd w:w="0" w:type="dxa"/>
      <w:tblBorders>
        <w:top w:val="single" w:color="000000" w:themeColor="text1" w:themeTint="26" w:sz="4" w:space="0"/>
        <w:left w:val="single" w:color="000000" w:themeColor="text1" w:themeTint="26" w:sz="4" w:space="0"/>
        <w:bottom w:val="single" w:color="000000" w:themeColor="text1" w:themeTint="26" w:sz="4" w:space="0"/>
        <w:right w:val="single" w:color="000000" w:themeColor="text1" w:themeTint="26" w:sz="4" w:space="0"/>
        <w:insideH w:val="single" w:color="000000" w:themeColor="text1" w:themeTint="26" w:sz="4" w:space="0"/>
        <w:insideV w:val="single" w:color="000000" w:themeColor="text1" w:themeTint="26" w:sz="4" w:space="0"/>
      </w:tblBorders>
    </w:tblPr>
    <w:tcPr>
      <w:tcBorders/>
    </w:tcPr>
    <w:tblStylePr w:type="band1Horz">
      <w:rPr>
        <w:rFonts w:ascii="Arial" w:hAnsi="Arial"/>
        <w:color w:val="404040"/>
        <w:sz w:val="22"/>
      </w:rPr>
      <w:pPr>
        <w:pBdr/>
        <w:spacing/>
        <w:ind/>
      </w:pPr>
      <w:tblPr>
        <w:tblBorders/>
      </w:tblPr>
      <w:tcPr>
        <w:tcBorders>
          <w:top w:val="single" w:color="000000" w:themeColor="text1" w:themeTint="26" w:sz="4" w:space="0"/>
          <w:left w:val="single" w:color="000000" w:themeColor="text1" w:themeTint="26" w:sz="4" w:space="0"/>
          <w:bottom w:val="single" w:color="000000" w:themeColor="text1" w:themeTint="26" w:sz="4" w:space="0"/>
          <w:right w:val="single" w:color="000000" w:themeColor="text1" w:themeTint="26"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text1" w:themeTint="80" w:sz="12" w:space="0"/>
        </w:tcBorders>
      </w:tcPr>
    </w:tblStylePr>
    <w:tblStylePr w:type="lastCol">
      <w:rPr>
        <w:rFonts w:ascii="Arial" w:hAnsi="Arial"/>
        <w:color w:val="404040"/>
        <w:sz w:val="22"/>
      </w:rPr>
      <w:pPr>
        <w:pBdr/>
        <w:spacing/>
        <w:ind/>
      </w:pPr>
      <w:tblPr>
        <w:tblBorders/>
      </w:tblPr>
      <w:tcPr>
        <w:tcBorders>
          <w:left w:val="single" w:color="000000" w:themeColor="text1" w:themeTint="80" w:sz="12" w:space="0"/>
        </w:tcBorders>
      </w:tcPr>
    </w:tblStylePr>
    <w:tblStylePr w:type="lastRow">
      <w:rPr>
        <w:rFonts w:ascii="Arial" w:hAnsi="Arial"/>
        <w:color w:val="404040"/>
        <w:sz w:val="22"/>
      </w:rPr>
      <w:pPr>
        <w:pBdr/>
        <w:spacing/>
        <w:ind/>
      </w:pPr>
      <w:tblPr>
        <w:tblBorders/>
      </w:tblPr>
      <w:tcPr>
        <w:tcBorders>
          <w:top w:val="single" w:color="000000" w:themeColor="text1" w:themeTint="80"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8">
    <w:name w:val="Bordered - Accent 1"/>
    <w:basedOn w:val="32"/>
    <w:uiPriority w:val="99"/>
    <w:pPr>
      <w:pBdr/>
      <w:spacing w:after="0" w:line="240" w:lineRule="auto"/>
      <w:ind/>
    </w:pPr>
    <w:tblPr>
      <w:tblStyleRowBandSize w:val="1"/>
      <w:tblStyleColBandSize w:val="1"/>
      <w:tblInd w:w="0" w:type="dxa"/>
      <w:tbl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insideH w:val="single" w:color="000000" w:themeColor="accent1" w:themeTint="67" w:sz="4" w:space="0"/>
        <w:insideV w:val="single" w:color="000000" w:themeColor="accent1"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1" w:sz="12" w:space="0"/>
        </w:tcBorders>
      </w:tcPr>
    </w:tblStylePr>
    <w:tblStylePr w:type="lastCol">
      <w:rPr>
        <w:rFonts w:ascii="Arial" w:hAnsi="Arial"/>
        <w:color w:val="404040"/>
        <w:sz w:val="22"/>
      </w:rPr>
      <w:pPr>
        <w:pBdr/>
        <w:spacing/>
        <w:ind/>
      </w:pPr>
      <w:tblPr>
        <w:tblBorders/>
      </w:tblPr>
      <w:tcPr>
        <w:tcBorders>
          <w:left w:val="single" w:color="000000" w:themeColor="accent1" w:sz="12" w:space="0"/>
        </w:tcBorders>
      </w:tcPr>
    </w:tblStylePr>
    <w:tblStylePr w:type="lastRow">
      <w:rPr>
        <w:rFonts w:ascii="Arial" w:hAnsi="Arial"/>
        <w:color w:val="404040"/>
        <w:sz w:val="22"/>
      </w:rPr>
      <w:pPr>
        <w:pBdr/>
        <w:spacing/>
        <w:ind/>
      </w:pPr>
      <w:tblPr>
        <w:tblBorders/>
      </w:tblPr>
      <w:tcPr>
        <w:tcBorders>
          <w:top w:val="single" w:color="000000" w:themeColor="accent1"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9">
    <w:name w:val="Bordered - Accent 2"/>
    <w:basedOn w:val="32"/>
    <w:uiPriority w:val="99"/>
    <w:pPr>
      <w:pBdr/>
      <w:spacing w:after="0" w:line="240" w:lineRule="auto"/>
      <w:ind/>
    </w:pPr>
    <w:tblPr>
      <w:tblStyleRowBandSize w:val="1"/>
      <w:tblStyleColBandSize w:val="1"/>
      <w:tblInd w:w="0" w:type="dxa"/>
      <w:tbl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insideH w:val="single" w:color="000000" w:themeColor="accent2" w:themeTint="67" w:sz="4" w:space="0"/>
        <w:insideV w:val="single" w:color="000000" w:themeColor="accent2"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2" w:themeTint="97" w:sz="12" w:space="0"/>
        </w:tcBorders>
      </w:tcPr>
    </w:tblStylePr>
    <w:tblStylePr w:type="lastCol">
      <w:rPr>
        <w:rFonts w:ascii="Arial" w:hAnsi="Arial"/>
        <w:color w:val="404040"/>
        <w:sz w:val="22"/>
      </w:rPr>
      <w:pPr>
        <w:pBdr/>
        <w:spacing/>
        <w:ind/>
      </w:pPr>
      <w:tblPr>
        <w:tblBorders/>
      </w:tblPr>
      <w:tcPr>
        <w:tcBorders>
          <w:left w:val="single" w:color="000000" w:themeColor="accent2" w:themeTint="97" w:sz="12" w:space="0"/>
        </w:tcBorders>
      </w:tcPr>
    </w:tblStylePr>
    <w:tblStylePr w:type="lastRow">
      <w:rPr>
        <w:rFonts w:ascii="Arial" w:hAnsi="Arial"/>
        <w:color w:val="404040"/>
        <w:sz w:val="22"/>
      </w:rPr>
      <w:pPr>
        <w:pBdr/>
        <w:spacing/>
        <w:ind/>
      </w:pPr>
      <w:tblPr>
        <w:tblBorders/>
      </w:tblPr>
      <w:tcPr>
        <w:tcBorders>
          <w:top w:val="single" w:color="000000" w:themeColor="accent2" w:themeTint="97"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70">
    <w:name w:val="Bordered - Accent 3"/>
    <w:basedOn w:val="32"/>
    <w:uiPriority w:val="99"/>
    <w:pPr>
      <w:pBdr/>
      <w:spacing w:after="0" w:line="240" w:lineRule="auto"/>
      <w:ind/>
    </w:pPr>
    <w:tblPr>
      <w:tblStyleRowBandSize w:val="1"/>
      <w:tblStyleColBandSize w:val="1"/>
      <w:tblInd w:w="0" w:type="dxa"/>
      <w:tbl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insideH w:val="single" w:color="000000" w:themeColor="accent3" w:themeTint="67" w:sz="4" w:space="0"/>
        <w:insideV w:val="single" w:color="000000" w:themeColor="accent3"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3" w:themeTint="98" w:sz="12" w:space="0"/>
        </w:tcBorders>
      </w:tcPr>
    </w:tblStylePr>
    <w:tblStylePr w:type="lastCol">
      <w:rPr>
        <w:rFonts w:ascii="Arial" w:hAnsi="Arial"/>
        <w:color w:val="404040"/>
        <w:sz w:val="22"/>
      </w:rPr>
      <w:pPr>
        <w:pBdr/>
        <w:spacing/>
        <w:ind/>
      </w:pPr>
      <w:tblPr>
        <w:tblBorders/>
      </w:tblPr>
      <w:tcPr>
        <w:tcBorders>
          <w:left w:val="single" w:color="000000" w:themeColor="accent3" w:themeTint="98" w:sz="12" w:space="0"/>
        </w:tcBorders>
      </w:tcPr>
    </w:tblStylePr>
    <w:tblStylePr w:type="lastRow">
      <w:rPr>
        <w:rFonts w:ascii="Arial" w:hAnsi="Arial"/>
        <w:color w:val="404040"/>
        <w:sz w:val="22"/>
      </w:rPr>
      <w:pPr>
        <w:pBdr/>
        <w:spacing/>
        <w:ind/>
      </w:pPr>
      <w:tblPr>
        <w:tblBorders/>
      </w:tblPr>
      <w:tcPr>
        <w:tcBorders>
          <w:top w:val="single" w:color="000000" w:themeColor="accent3" w:themeTint="98"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71">
    <w:name w:val="Bordered - Accent 4"/>
    <w:basedOn w:val="32"/>
    <w:uiPriority w:val="99"/>
    <w:pPr>
      <w:pBdr/>
      <w:spacing w:after="0" w:line="240" w:lineRule="auto"/>
      <w:ind/>
    </w:pPr>
    <w:tblPr>
      <w:tblStyleRowBandSize w:val="1"/>
      <w:tblStyleColBandSize w:val="1"/>
      <w:tblInd w:w="0" w:type="dxa"/>
      <w:tbl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insideH w:val="single" w:color="000000" w:themeColor="accent4" w:themeTint="67" w:sz="4" w:space="0"/>
        <w:insideV w:val="single" w:color="000000" w:themeColor="accent4"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4" w:themeTint="9A" w:sz="12" w:space="0"/>
        </w:tcBorders>
      </w:tcPr>
    </w:tblStylePr>
    <w:tblStylePr w:type="lastCol">
      <w:rPr>
        <w:rFonts w:ascii="Arial" w:hAnsi="Arial"/>
        <w:color w:val="404040"/>
        <w:sz w:val="22"/>
      </w:rPr>
      <w:pPr>
        <w:pBdr/>
        <w:spacing/>
        <w:ind/>
      </w:pPr>
      <w:tblPr>
        <w:tblBorders/>
      </w:tblPr>
      <w:tcPr>
        <w:tcBorders>
          <w:left w:val="single" w:color="000000" w:themeColor="accent4" w:themeTint="9A" w:sz="12" w:space="0"/>
        </w:tcBorders>
      </w:tcPr>
    </w:tblStylePr>
    <w:tblStylePr w:type="lastRow">
      <w:rPr>
        <w:rFonts w:ascii="Arial" w:hAnsi="Arial"/>
        <w:color w:val="404040"/>
        <w:sz w:val="22"/>
      </w:rPr>
      <w:pPr>
        <w:pBdr/>
        <w:spacing/>
        <w:ind/>
      </w:pPr>
      <w:tblPr>
        <w:tblBorders/>
      </w:tblPr>
      <w:tcPr>
        <w:tcBorders>
          <w:top w:val="single" w:color="000000" w:themeColor="accent4" w:themeTint="9A"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72">
    <w:name w:val="Bordered - Accent 5"/>
    <w:basedOn w:val="32"/>
    <w:uiPriority w:val="99"/>
    <w:pPr>
      <w:pBdr/>
      <w:spacing w:after="0" w:line="240" w:lineRule="auto"/>
      <w:ind/>
    </w:pPr>
    <w:tblPr>
      <w:tblStyleRowBandSize w:val="1"/>
      <w:tblStyleColBandSize w:val="1"/>
      <w:tblInd w:w="0" w:type="dxa"/>
      <w:tbl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insideH w:val="single" w:color="000000" w:themeColor="accent5" w:themeTint="67" w:sz="4" w:space="0"/>
        <w:insideV w:val="single" w:color="000000" w:themeColor="accent5"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5" w:themeTint="9A" w:sz="12" w:space="0"/>
        </w:tcBorders>
      </w:tcPr>
    </w:tblStylePr>
    <w:tblStylePr w:type="lastCol">
      <w:rPr>
        <w:rFonts w:ascii="Arial" w:hAnsi="Arial"/>
        <w:color w:val="404040"/>
        <w:sz w:val="22"/>
      </w:rPr>
      <w:pPr>
        <w:pBdr/>
        <w:spacing/>
        <w:ind/>
      </w:pPr>
      <w:tblPr>
        <w:tblBorders/>
      </w:tblPr>
      <w:tcPr>
        <w:tcBorders>
          <w:left w:val="single" w:color="000000" w:themeColor="accent5" w:themeTint="9A" w:sz="12" w:space="0"/>
        </w:tcBorders>
      </w:tcPr>
    </w:tblStylePr>
    <w:tblStylePr w:type="lastRow">
      <w:rPr>
        <w:rFonts w:ascii="Arial" w:hAnsi="Arial"/>
        <w:color w:val="404040"/>
        <w:sz w:val="22"/>
      </w:rPr>
      <w:pPr>
        <w:pBdr/>
        <w:spacing/>
        <w:ind/>
      </w:pPr>
      <w:tblPr>
        <w:tblBorders/>
      </w:tblPr>
      <w:tcPr>
        <w:tcBorders>
          <w:top w:val="single" w:color="000000" w:themeColor="accent5" w:themeTint="9A"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73">
    <w:name w:val="Bordered - Accent 6"/>
    <w:basedOn w:val="32"/>
    <w:uiPriority w:val="99"/>
    <w:pPr>
      <w:pBdr/>
      <w:spacing w:after="0" w:line="240" w:lineRule="auto"/>
      <w:ind/>
    </w:pPr>
    <w:tblPr>
      <w:tblStyleRowBandSize w:val="1"/>
      <w:tblStyleColBandSize w:val="1"/>
      <w:tblInd w:w="0" w:type="dxa"/>
      <w:tbl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insideH w:val="single" w:color="000000" w:themeColor="accent6" w:themeTint="67" w:sz="4" w:space="0"/>
        <w:insideV w:val="single" w:color="000000" w:themeColor="accent6"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6" w:themeTint="98" w:sz="12" w:space="0"/>
        </w:tcBorders>
      </w:tcPr>
    </w:tblStylePr>
    <w:tblStylePr w:type="lastCol">
      <w:rPr>
        <w:rFonts w:ascii="Arial" w:hAnsi="Arial"/>
        <w:color w:val="404040"/>
        <w:sz w:val="22"/>
      </w:rPr>
      <w:pPr>
        <w:pBdr/>
        <w:spacing/>
        <w:ind/>
      </w:pPr>
      <w:tblPr>
        <w:tblBorders/>
      </w:tblPr>
      <w:tcPr>
        <w:tcBorders>
          <w:left w:val="single" w:color="000000" w:themeColor="accent6" w:themeTint="98" w:sz="12" w:space="0"/>
        </w:tcBorders>
      </w:tcPr>
    </w:tblStylePr>
    <w:tblStylePr w:type="lastRow">
      <w:rPr>
        <w:rFonts w:ascii="Arial" w:hAnsi="Arial"/>
        <w:color w:val="404040"/>
        <w:sz w:val="22"/>
      </w:rPr>
      <w:pPr>
        <w:pBdr/>
        <w:spacing/>
        <w:ind/>
      </w:pPr>
      <w:tblPr>
        <w:tblBorders/>
      </w:tblPr>
      <w:tcPr>
        <w:tcBorders>
          <w:top w:val="single" w:color="000000" w:themeColor="accent6" w:themeTint="98"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character" w:styleId="174">
    <w:name w:val="Hyperlink"/>
    <w:uiPriority w:val="99"/>
    <w:unhideWhenUsed/>
    <w:pPr>
      <w:pBdr/>
      <w:spacing/>
      <w:ind/>
    </w:pPr>
    <w:rPr>
      <w:color w:val="0000ff" w:themeColor="hyperlink"/>
      <w:u w:val="single"/>
    </w:rPr>
  </w:style>
  <w:style w:type="paragraph" w:styleId="175">
    <w:name w:val="footnote text"/>
    <w:basedOn w:val="633"/>
    <w:link w:val="176"/>
    <w:uiPriority w:val="99"/>
    <w:semiHidden/>
    <w:unhideWhenUsed/>
    <w:pPr>
      <w:pBdr/>
      <w:spacing w:after="40" w:line="240" w:lineRule="auto"/>
      <w:ind/>
    </w:pPr>
    <w:rPr>
      <w:sz w:val="18"/>
    </w:rPr>
  </w:style>
  <w:style w:type="character" w:styleId="176">
    <w:name w:val="Footnote Text Char"/>
    <w:link w:val="175"/>
    <w:uiPriority w:val="99"/>
    <w:pPr>
      <w:pBdr/>
      <w:spacing/>
      <w:ind/>
    </w:pPr>
    <w:rPr>
      <w:sz w:val="18"/>
    </w:rPr>
  </w:style>
  <w:style w:type="character" w:styleId="177">
    <w:name w:val="footnote reference"/>
    <w:basedOn w:val="11"/>
    <w:uiPriority w:val="99"/>
    <w:unhideWhenUsed/>
    <w:pPr>
      <w:pBdr/>
      <w:spacing/>
      <w:ind/>
    </w:pPr>
    <w:rPr>
      <w:vertAlign w:val="superscript"/>
    </w:rPr>
  </w:style>
  <w:style w:type="paragraph" w:styleId="178">
    <w:name w:val="endnote text"/>
    <w:basedOn w:val="633"/>
    <w:link w:val="179"/>
    <w:uiPriority w:val="99"/>
    <w:semiHidden/>
    <w:unhideWhenUsed/>
    <w:pPr>
      <w:pBdr/>
      <w:spacing w:after="0" w:line="240" w:lineRule="auto"/>
      <w:ind/>
    </w:pPr>
    <w:rPr>
      <w:sz w:val="20"/>
    </w:rPr>
  </w:style>
  <w:style w:type="character" w:styleId="179">
    <w:name w:val="Endnote Text Char"/>
    <w:link w:val="178"/>
    <w:uiPriority w:val="99"/>
    <w:pPr>
      <w:pBdr/>
      <w:spacing/>
      <w:ind/>
    </w:pPr>
    <w:rPr>
      <w:sz w:val="20"/>
    </w:rPr>
  </w:style>
  <w:style w:type="character" w:styleId="180">
    <w:name w:val="endnote reference"/>
    <w:basedOn w:val="11"/>
    <w:uiPriority w:val="99"/>
    <w:semiHidden/>
    <w:unhideWhenUsed/>
    <w:pPr>
      <w:pBdr/>
      <w:spacing/>
      <w:ind/>
    </w:pPr>
    <w:rPr>
      <w:vertAlign w:val="superscript"/>
    </w:rPr>
  </w:style>
  <w:style w:type="paragraph" w:styleId="181">
    <w:name w:val="toc 1"/>
    <w:basedOn w:val="633"/>
    <w:next w:val="633"/>
    <w:uiPriority w:val="39"/>
    <w:unhideWhenUsed/>
    <w:pPr>
      <w:pBdr/>
      <w:spacing w:after="57"/>
      <w:ind w:right="0" w:firstLine="0" w:left="0"/>
    </w:pPr>
  </w:style>
  <w:style w:type="paragraph" w:styleId="182">
    <w:name w:val="toc 2"/>
    <w:basedOn w:val="633"/>
    <w:next w:val="633"/>
    <w:uiPriority w:val="39"/>
    <w:unhideWhenUsed/>
    <w:pPr>
      <w:pBdr/>
      <w:spacing w:after="57"/>
      <w:ind w:right="0" w:firstLine="0" w:left="283"/>
    </w:pPr>
  </w:style>
  <w:style w:type="paragraph" w:styleId="183">
    <w:name w:val="toc 3"/>
    <w:basedOn w:val="633"/>
    <w:next w:val="633"/>
    <w:uiPriority w:val="39"/>
    <w:unhideWhenUsed/>
    <w:pPr>
      <w:pBdr/>
      <w:spacing w:after="57"/>
      <w:ind w:right="0" w:firstLine="0" w:left="567"/>
    </w:pPr>
  </w:style>
  <w:style w:type="paragraph" w:styleId="184">
    <w:name w:val="toc 4"/>
    <w:basedOn w:val="633"/>
    <w:next w:val="633"/>
    <w:uiPriority w:val="39"/>
    <w:unhideWhenUsed/>
    <w:pPr>
      <w:pBdr/>
      <w:spacing w:after="57"/>
      <w:ind w:right="0" w:firstLine="0" w:left="850"/>
    </w:pPr>
  </w:style>
  <w:style w:type="paragraph" w:styleId="185">
    <w:name w:val="toc 5"/>
    <w:basedOn w:val="633"/>
    <w:next w:val="633"/>
    <w:uiPriority w:val="39"/>
    <w:unhideWhenUsed/>
    <w:pPr>
      <w:pBdr/>
      <w:spacing w:after="57"/>
      <w:ind w:right="0" w:firstLine="0" w:left="1134"/>
    </w:pPr>
  </w:style>
  <w:style w:type="paragraph" w:styleId="186">
    <w:name w:val="toc 6"/>
    <w:basedOn w:val="633"/>
    <w:next w:val="633"/>
    <w:uiPriority w:val="39"/>
    <w:unhideWhenUsed/>
    <w:pPr>
      <w:pBdr/>
      <w:spacing w:after="57"/>
      <w:ind w:right="0" w:firstLine="0" w:left="1417"/>
    </w:pPr>
  </w:style>
  <w:style w:type="paragraph" w:styleId="187">
    <w:name w:val="toc 7"/>
    <w:basedOn w:val="633"/>
    <w:next w:val="633"/>
    <w:uiPriority w:val="39"/>
    <w:unhideWhenUsed/>
    <w:pPr>
      <w:pBdr/>
      <w:spacing w:after="57"/>
      <w:ind w:right="0" w:firstLine="0" w:left="1701"/>
    </w:pPr>
  </w:style>
  <w:style w:type="paragraph" w:styleId="188">
    <w:name w:val="toc 8"/>
    <w:basedOn w:val="633"/>
    <w:next w:val="633"/>
    <w:uiPriority w:val="39"/>
    <w:unhideWhenUsed/>
    <w:pPr>
      <w:pBdr/>
      <w:spacing w:after="57"/>
      <w:ind w:right="0" w:firstLine="0" w:left="1984"/>
    </w:pPr>
  </w:style>
  <w:style w:type="paragraph" w:styleId="189">
    <w:name w:val="toc 9"/>
    <w:basedOn w:val="633"/>
    <w:next w:val="633"/>
    <w:uiPriority w:val="39"/>
    <w:unhideWhenUsed/>
    <w:pPr>
      <w:pBdr/>
      <w:spacing w:after="57"/>
      <w:ind w:right="0" w:firstLine="0" w:left="2268"/>
    </w:pPr>
  </w:style>
  <w:style w:type="paragraph" w:styleId="190">
    <w:name w:val="TOC Heading"/>
    <w:uiPriority w:val="39"/>
    <w:unhideWhenUsed/>
    <w:pPr>
      <w:pBdr/>
      <w:spacing/>
      <w:ind/>
    </w:pPr>
  </w:style>
  <w:style w:type="paragraph" w:styleId="191">
    <w:name w:val="table of figures"/>
    <w:basedOn w:val="633"/>
    <w:next w:val="633"/>
    <w:uiPriority w:val="99"/>
    <w:unhideWhenUsed/>
    <w:pPr>
      <w:pBdr/>
      <w:spacing w:after="0" w:afterAutospacing="0"/>
      <w:ind/>
    </w:pPr>
  </w:style>
  <w:style w:type="paragraph" w:styleId="633" w:default="1">
    <w:name w:val="Normal"/>
    <w:next w:val="633"/>
    <w:link w:val="633"/>
    <w:qFormat/>
    <w:pPr>
      <w:widowControl w:val="false"/>
      <w:pBdr/>
      <w:spacing/>
      <w:ind/>
      <w:jc w:val="both"/>
    </w:pPr>
    <w:rPr>
      <w:sz w:val="21"/>
      <w:lang w:val="en-US" w:eastAsia="zh-CN" w:bidi="ar-SA"/>
    </w:rPr>
  </w:style>
  <w:style w:type="character" w:styleId="634">
    <w:name w:val="默认段落字体"/>
    <w:next w:val="634"/>
    <w:link w:val="633"/>
    <w:pPr>
      <w:pBdr/>
      <w:spacing/>
      <w:ind/>
    </w:pPr>
  </w:style>
  <w:style w:type="table" w:styleId="635">
    <w:name w:val="普通表格"/>
    <w:next w:val="635"/>
    <w:link w:val="633"/>
    <w:semiHidden/>
    <w:pPr>
      <w:pBdr/>
      <w:spacing/>
      <w:ind/>
    </w:pPr>
    <w:tblPr>
      <w:tblBorders/>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character" w:styleId="636">
    <w:name w:val="要点"/>
    <w:basedOn w:val="634"/>
    <w:next w:val="636"/>
    <w:link w:val="633"/>
    <w:uiPriority w:val="22"/>
    <w:qFormat/>
    <w:pPr>
      <w:pBdr/>
      <w:spacing/>
      <w:ind/>
    </w:pPr>
    <w:rPr>
      <w:b/>
      <w:bCs/>
    </w:rPr>
  </w:style>
  <w:style w:type="character" w:styleId="637">
    <w:name w:val="批注引用"/>
    <w:basedOn w:val="634"/>
    <w:next w:val="637"/>
    <w:link w:val="633"/>
    <w:pPr>
      <w:pBdr/>
      <w:spacing/>
      <w:ind/>
    </w:pPr>
    <w:rPr>
      <w:sz w:val="21"/>
      <w:szCs w:val="21"/>
    </w:rPr>
  </w:style>
  <w:style w:type="character" w:styleId="638">
    <w:name w:val="强调"/>
    <w:basedOn w:val="634"/>
    <w:next w:val="638"/>
    <w:link w:val="633"/>
    <w:uiPriority w:val="20"/>
    <w:qFormat/>
    <w:pPr>
      <w:pBdr/>
      <w:spacing/>
      <w:ind/>
    </w:pPr>
    <w:rPr>
      <w:i/>
      <w:iCs/>
    </w:rPr>
  </w:style>
  <w:style w:type="character" w:styleId="639">
    <w:name w:val="批注主题 Char"/>
    <w:basedOn w:val="640"/>
    <w:next w:val="639"/>
    <w:link w:val="649"/>
    <w:pPr>
      <w:pBdr/>
      <w:spacing/>
      <w:ind/>
    </w:pPr>
    <w:rPr>
      <w:b/>
      <w:bCs/>
    </w:rPr>
  </w:style>
  <w:style w:type="character" w:styleId="640">
    <w:name w:val="批注文字 Char"/>
    <w:basedOn w:val="634"/>
    <w:next w:val="640"/>
    <w:link w:val="646"/>
    <w:pPr>
      <w:pBdr/>
      <w:spacing/>
      <w:ind/>
    </w:pPr>
    <w:rPr>
      <w:sz w:val="21"/>
    </w:rPr>
  </w:style>
  <w:style w:type="character" w:styleId="641">
    <w:name w:val="文档结构图 Char"/>
    <w:basedOn w:val="634"/>
    <w:next w:val="641"/>
    <w:link w:val="648"/>
    <w:pPr>
      <w:pBdr/>
      <w:spacing/>
      <w:ind/>
    </w:pPr>
    <w:rPr>
      <w:rFonts w:ascii="宋体"/>
      <w:sz w:val="18"/>
      <w:szCs w:val="18"/>
    </w:rPr>
  </w:style>
  <w:style w:type="character" w:styleId="642">
    <w:name w:val="批注框文本 Char"/>
    <w:next w:val="642"/>
    <w:link w:val="647"/>
    <w:pPr>
      <w:pBdr/>
      <w:spacing/>
      <w:ind/>
    </w:pPr>
    <w:rPr>
      <w:sz w:val="18"/>
      <w:szCs w:val="18"/>
    </w:rPr>
  </w:style>
  <w:style w:type="paragraph" w:styleId="643">
    <w:name w:val="普通(网站)"/>
    <w:basedOn w:val="633"/>
    <w:next w:val="643"/>
    <w:link w:val="633"/>
    <w:uiPriority w:val="99"/>
    <w:unhideWhenUsed/>
    <w:pPr>
      <w:widowControl w:val="true"/>
      <w:pBdr/>
      <w:spacing w:after="100" w:afterAutospacing="1" w:before="100" w:beforeAutospacing="1"/>
      <w:ind/>
      <w:jc w:val="left"/>
    </w:pPr>
    <w:rPr>
      <w:rFonts w:ascii="宋体" w:hAnsi="宋体" w:cs="宋体"/>
      <w:sz w:val="24"/>
      <w:szCs w:val="24"/>
    </w:rPr>
  </w:style>
  <w:style w:type="paragraph" w:styleId="644">
    <w:name w:val="页眉"/>
    <w:basedOn w:val="633"/>
    <w:next w:val="644"/>
    <w:link w:val="633"/>
    <w:pPr>
      <w:pBdr>
        <w:top w:val="none" w:color="000000" w:sz="0" w:space="1"/>
        <w:left w:val="none" w:color="000000" w:sz="0" w:space="4"/>
        <w:bottom w:val="none" w:color="000000" w:sz="0" w:space="1"/>
        <w:right w:val="none" w:color="000000" w:sz="0" w:space="4"/>
      </w:pBdr>
      <w:tabs>
        <w:tab w:val="center" w:leader="none" w:pos="4153"/>
        <w:tab w:val="right" w:leader="none" w:pos="8306"/>
      </w:tabs>
      <w:spacing w:line="240" w:lineRule="auto"/>
      <w:ind/>
      <w:jc w:val="both"/>
      <w:outlineLvl w:val="9"/>
    </w:pPr>
    <w:rPr>
      <w:rFonts w:ascii="Times New Roman" w:hAnsi="Times New Roman"/>
      <w:sz w:val="18"/>
    </w:rPr>
  </w:style>
  <w:style w:type="paragraph" w:styleId="645">
    <w:name w:val="页脚"/>
    <w:basedOn w:val="633"/>
    <w:next w:val="645"/>
    <w:link w:val="633"/>
    <w:pPr>
      <w:pBdr/>
      <w:tabs>
        <w:tab w:val="center" w:leader="none" w:pos="4153"/>
        <w:tab w:val="right" w:leader="none" w:pos="8306"/>
      </w:tabs>
      <w:spacing/>
      <w:ind/>
      <w:jc w:val="left"/>
    </w:pPr>
    <w:rPr>
      <w:sz w:val="18"/>
    </w:rPr>
  </w:style>
  <w:style w:type="paragraph" w:styleId="646">
    <w:name w:val="批注文字"/>
    <w:basedOn w:val="633"/>
    <w:next w:val="646"/>
    <w:link w:val="640"/>
    <w:pPr>
      <w:pBdr/>
      <w:spacing/>
      <w:ind/>
      <w:jc w:val="left"/>
    </w:pPr>
  </w:style>
  <w:style w:type="paragraph" w:styleId="647">
    <w:name w:val="批注框文本"/>
    <w:basedOn w:val="633"/>
    <w:next w:val="647"/>
    <w:link w:val="642"/>
    <w:pPr>
      <w:pBdr/>
      <w:spacing/>
      <w:ind/>
    </w:pPr>
    <w:rPr>
      <w:sz w:val="18"/>
      <w:szCs w:val="18"/>
    </w:rPr>
  </w:style>
  <w:style w:type="paragraph" w:styleId="648">
    <w:name w:val="文档结构图"/>
    <w:basedOn w:val="633"/>
    <w:next w:val="648"/>
    <w:link w:val="641"/>
    <w:pPr>
      <w:pBdr/>
      <w:spacing/>
      <w:ind/>
    </w:pPr>
    <w:rPr>
      <w:rFonts w:ascii="宋体"/>
      <w:sz w:val="18"/>
      <w:szCs w:val="18"/>
    </w:rPr>
  </w:style>
  <w:style w:type="paragraph" w:styleId="649">
    <w:name w:val="批注主题"/>
    <w:basedOn w:val="646"/>
    <w:next w:val="646"/>
    <w:link w:val="639"/>
    <w:pPr>
      <w:pBdr/>
      <w:spacing/>
      <w:ind/>
    </w:pPr>
    <w:rPr>
      <w:b/>
      <w:bCs/>
    </w:rPr>
  </w:style>
  <w:style w:type="paragraph" w:styleId="650">
    <w:name w:val="修订"/>
    <w:next w:val="650"/>
    <w:link w:val="633"/>
    <w:uiPriority w:val="99"/>
    <w:unhideWhenUsed/>
    <w:pPr>
      <w:pBdr/>
      <w:spacing/>
      <w:ind/>
    </w:pPr>
    <w:rPr>
      <w:sz w:val="21"/>
      <w:lang w:val="en-US" w:eastAsia="zh-CN" w:bidi="ar-SA"/>
    </w:rPr>
  </w:style>
  <w:style w:type="table" w:styleId="651">
    <w:name w:val="网格型"/>
    <w:basedOn w:val="635"/>
    <w:next w:val="651"/>
    <w:link w:val="633"/>
    <w:pPr>
      <w:widowControl w:val="false"/>
      <w:pBdr/>
      <w:spacing/>
      <w:ind/>
      <w:jc w:val="both"/>
    </w:pPr>
    <w:tblPr>
      <w:tblBorders/>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character" w:styleId="1817" w:default="1">
    <w:name w:val="Default Paragraph Font"/>
    <w:uiPriority w:val="1"/>
    <w:semiHidden/>
    <w:unhideWhenUsed/>
    <w:pPr>
      <w:pBdr/>
      <w:spacing/>
      <w:ind/>
    </w:pPr>
  </w:style>
  <w:style w:type="numbering" w:styleId="1818" w:default="1">
    <w:name w:val="No List"/>
    <w:uiPriority w:val="99"/>
    <w:semiHidden/>
    <w:unhideWhenUsed/>
    <w:pPr>
      <w:pBdr/>
      <w:spacing/>
      <w:ind/>
    </w:pPr>
  </w:style>
  <w:style w:type="table" w:styleId="1819" w:default="1">
    <w:name w:val="Normal Table"/>
    <w:uiPriority w:val="99"/>
    <w:semiHidden/>
    <w:unhideWhenUsed/>
    <w:pPr>
      <w:pBdr/>
      <w:spacing/>
      <w:ind/>
    </w:pPr>
    <w:tblPr>
      <w:tblBorders/>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s>
</file>

<file path=word/webSettings.xml><?xml version="1.0" encoding="utf-8"?>
<w:webSettings xmlns:w="http://schemas.openxmlformats.org/wordprocessingml/2006/main">
  <w:optimizeForBrowser/>
</w:webSettings>
</file>

<file path=word/_rels/comments.xml.rels><?xml version="1.0" encoding="UTF-8" standalone="yes"?><Relationships xmlns="http://schemas.openxmlformats.org/package/2006/relationships"></Relationships>
</file>

<file path=word/_rels/document.xml.rels><?xml version="1.0" encoding="UTF-8" standalone="yes"?><Relationships xmlns="http://schemas.openxmlformats.org/package/2006/relationships"><Relationship Id="rId1"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webSettings" Target="webSettings.xml" /><Relationship Id="rId4" Type="http://schemas.openxmlformats.org/officeDocument/2006/relationships/fontTable" Target="fontTable.xml" /><Relationship Id="rId5" Type="http://schemas.openxmlformats.org/officeDocument/2006/relationships/theme" Target="theme/theme1.xml" /><Relationship Id="rId6" Type="http://schemas.openxmlformats.org/officeDocument/2006/relationships/footnotes" Target="footnotes.xml" /><Relationship Id="rId7" Type="http://schemas.openxmlformats.org/officeDocument/2006/relationships/endnotes" Target="endnotes.xml" /><Relationship Id="rId8" Type="http://schemas.openxmlformats.org/officeDocument/2006/relationships/footer" Target="footer1.xml" /></Relationships>
</file>

<file path=word/_rels/endnotes.xml.rels><?xml version="1.0" encoding="UTF-8" standalone="yes"?><Relationships xmlns="http://schemas.openxmlformats.org/package/2006/relationships"></Relationships>
</file>

<file path=word/_rels/footer1.xml.rels><?xml version="1.0" encoding="UTF-8" standalone="yes"?><Relationships xmlns="http://schemas.openxmlformats.org/package/2006/relationships"></Relationships>
</file>

<file path=word/_rels/footnotes.xml.rels><?xml version="1.0" encoding="UTF-8" standalone="yes"?><Relationships xmlns="http://schemas.openxmlformats.org/package/2006/relationships"></Relationships>
</file>

<file path=word/theme/theme1.xml><?xml version="1.0" encoding="utf-8"?>
<a:theme xmlns:a="http://schemas.openxmlformats.org/drawingml/2006/main" xmlns:r="http://schemas.openxmlformats.org/officeDocument/2006/relationships" xmlns:p="http://schemas.openxmlformats.org/presentationml/2006/main" name="">
  <a:themeElements>
    <a:clrScheme nam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
      <a:majorFont>
        <a:latin typeface="Arial"/>
        <a:ea typeface="Arial"/>
        <a:cs typeface="Arial"/>
      </a:majorFont>
      <a:minorFont>
        <a:latin typeface="Arial"/>
        <a:ea typeface="Arial"/>
        <a:cs typeface="Arial"/>
      </a:minorFont>
    </a:fontScheme>
    <a:fmtScheme name="">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ln>
        <a:ln w="25400">
          <a:solidFill>
            <a:schemeClr val="phClr"/>
          </a:solidFill>
        </a:ln>
        <a:ln w="38100">
          <a:solidFill>
            <a:schemeClr val="phClr"/>
          </a:solidFill>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rgbClr val="000000"/>
        </a:solidFill>
        <a:solidFill>
          <a:srgbClr val="000000"/>
        </a:solidFill>
      </a:bgFillStyleLst>
    </a:fmtScheme>
  </a:themeElements>
  <a:objectDefaults/>
</a:theme>
</file>

<file path=docProps/app.xml><?xml version="1.0" encoding="utf-8"?>
<Properties xmlns="http://schemas.openxmlformats.org/officeDocument/2006/extended-properties" xmlns:vt="http://schemas.openxmlformats.org/officeDocument/2006/docPropsVTypes">
  <Application>ONLYOFFICE/7.5.1.23</Application>
  <Company>chi</Company>
  <DocSecurity>0</DocSecurity>
  <ScaleCrop>false</ScaleCrop>
  <Template>Norma</Template>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电力安全生产三年规划（</dc:title>
  <dc:creator>黄</dc:creator>
  <cp:lastModifiedBy>匿名</cp:lastModifiedBy>
  <cp:revision>3</cp:revision>
  <dcterms:created xsi:type="dcterms:W3CDTF">2018-03-27T14:33:00Z</dcterms:created>
  <dcterms:modified xsi:type="dcterms:W3CDTF">2024-06-17T01:08:10Z</dcterms:modified>
</cp:coreProperties>
</file>