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890"/>
        </w:tabs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eastAsia="华文中宋"/>
          <w:sz w:val="36"/>
          <w:szCs w:val="36"/>
        </w:rPr>
      </w:pPr>
      <w:r>
        <w:rPr>
          <w:rFonts w:eastAsia="华文中宋"/>
          <w:sz w:val="36"/>
          <w:szCs w:val="36"/>
        </w:rPr>
        <w:t>中国参与APEC能源合作伙伴网络</w:t>
      </w:r>
    </w:p>
    <w:p>
      <w:pPr>
        <w:spacing w:line="560" w:lineRule="exact"/>
        <w:jc w:val="center"/>
        <w:rPr>
          <w:rFonts w:eastAsia="华文中宋"/>
          <w:sz w:val="36"/>
          <w:szCs w:val="36"/>
        </w:rPr>
      </w:pPr>
      <w:r>
        <w:rPr>
          <w:rFonts w:eastAsia="华文中宋"/>
          <w:sz w:val="36"/>
          <w:szCs w:val="36"/>
        </w:rPr>
        <w:t>第二批成员单位名单</w:t>
      </w:r>
    </w:p>
    <w:p>
      <w:pPr>
        <w:spacing w:line="560" w:lineRule="exact"/>
        <w:jc w:val="center"/>
        <w:rPr>
          <w:rFonts w:eastAsia="华文中宋"/>
          <w:sz w:val="36"/>
          <w:szCs w:val="36"/>
        </w:rPr>
      </w:pPr>
    </w:p>
    <w:tbl>
      <w:tblPr>
        <w:tblStyle w:val="2"/>
        <w:tblW w:w="9489" w:type="dxa"/>
        <w:jc w:val="center"/>
        <w:tblInd w:w="-13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3896"/>
        <w:gridCol w:w="47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489" w:type="dxa"/>
            <w:gridSpan w:val="3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rPr>
                <w:rFonts w:eastAsia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color w:val="000000"/>
                <w:kern w:val="0"/>
                <w:sz w:val="28"/>
                <w:szCs w:val="28"/>
              </w:rPr>
              <w:t>一、国内对口单位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eastAsia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eastAsia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4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eastAsia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color w:val="000000"/>
                <w:kern w:val="0"/>
                <w:sz w:val="28"/>
                <w:szCs w:val="28"/>
              </w:rPr>
              <w:t>对应专家组及任务组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国家发展和改革委员会能源研究所</w:t>
            </w:r>
          </w:p>
        </w:tc>
        <w:tc>
          <w:tcPr>
            <w:tcW w:w="4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能源数据分析专家组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电力规划设计总院</w:t>
            </w:r>
          </w:p>
        </w:tc>
        <w:tc>
          <w:tcPr>
            <w:tcW w:w="4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新能源和可再生能源专家组（系统）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中国标准化研究院</w:t>
            </w:r>
          </w:p>
        </w:tc>
        <w:tc>
          <w:tcPr>
            <w:tcW w:w="4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能效和节能专家组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中国石油天然气股份有限公司规划总院</w:t>
            </w:r>
          </w:p>
        </w:tc>
        <w:tc>
          <w:tcPr>
            <w:tcW w:w="4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清洁化石能源专家组（油气）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国家能源技术经济研究院</w:t>
            </w:r>
          </w:p>
        </w:tc>
        <w:tc>
          <w:tcPr>
            <w:tcW w:w="4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清洁化石能源专家组（煤）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天津大学(APEC可持续能源中心)</w:t>
            </w:r>
          </w:p>
        </w:tc>
        <w:tc>
          <w:tcPr>
            <w:tcW w:w="4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低碳示范城镇任务组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9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水电水利规划设计总院</w:t>
            </w:r>
          </w:p>
        </w:tc>
        <w:tc>
          <w:tcPr>
            <w:tcW w:w="4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能源弹性任务组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9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新能源和可再生能源专家组（电源）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489" w:type="dxa"/>
            <w:gridSpan w:val="3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color w:val="000000"/>
                <w:kern w:val="0"/>
                <w:sz w:val="28"/>
                <w:szCs w:val="28"/>
              </w:rPr>
              <w:t>二、其他成员单位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eastAsia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8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color w:val="000000"/>
                <w:kern w:val="0"/>
                <w:sz w:val="28"/>
                <w:szCs w:val="28"/>
              </w:rPr>
              <w:t>单位名称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中国建筑股份有限公司技术中心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国际小水电中心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应急管理部信息研究院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中国电力科学研究院有限公司配电研究所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全联新能源商会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中国煤炭加工利用协会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汉能移动能源控股集团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中国建筑科学研究院有限公司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国网能源研究院有限公司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中节能咨询有限公司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北京商和投资有限公司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北京麦斯达夫科技有限公司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上海康恒环境股份有限公司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国金鼎能（北京）电力科技有限公司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华北水利水电大学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中国智慧能源产业联盟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天津市渤海城市规划设计研究院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中国国际贸易促进委员会机械行业分会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中国电工技术学会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英利集团有限公司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远大科技集团有限公司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中国核能电力股份有限公司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国电新能源技术研究院有限公司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北京中创碳投科技有限公司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深圳泰利能源有限公司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上海航天智慧能源技术有限公司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爱德曼氢能源装备有限公司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深圳市爱能森科技有限公司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北京中能网讯咨询有限公司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北京中汽四方会展有限公司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北京三聚环保新材料股份有限公司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重庆需求侧科技股份有限公司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北京商和建设有限公司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北京启迪清洁能源科技有限公司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460" w:lineRule="exact"/>
              <w:ind w:firstLineChars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上海中如智慧能源集团有限公司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422094"/>
    <w:multiLevelType w:val="multilevel"/>
    <w:tmpl w:val="3B42209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402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goveditor</dc:creator>
  <cp:lastModifiedBy>担担面</cp:lastModifiedBy>
  <dcterms:modified xsi:type="dcterms:W3CDTF">2019-10-11T01:30:13Z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