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jc w:val="center"/>
        <w:rPr>
          <w:rFonts w:ascii="仿宋_GB2312" w:hAnsi="仿宋" w:eastAsia="仿宋_GB2312"/>
          <w:color w:val="000000" w:themeColor="text1"/>
          <w:sz w:val="44"/>
          <w:szCs w:val="44"/>
        </w:rPr>
      </w:pPr>
      <w:bookmarkStart w:id="0" w:name="_Hlk18396115"/>
      <w:bookmarkStart w:id="1" w:name="_Toc428995996"/>
      <w:r>
        <w:rPr>
          <w:rFonts w:hint="eastAsia" w:ascii="仿宋_GB2312" w:hAnsi="仿宋" w:eastAsia="仿宋_GB2312"/>
          <w:color w:val="000000" w:themeColor="text1"/>
          <w:sz w:val="44"/>
          <w:szCs w:val="44"/>
        </w:rPr>
        <w:t>电力中长期交易基本规则（暂行）</w:t>
      </w:r>
    </w:p>
    <w:bookmarkEnd w:id="0"/>
    <w:p>
      <w:pPr>
        <w:adjustRightInd w:val="0"/>
        <w:snapToGrid w:val="0"/>
        <w:spacing w:beforeLines="50" w:afterLines="50"/>
        <w:jc w:val="center"/>
        <w:rPr>
          <w:rFonts w:ascii="仿宋_GB2312" w:hAnsi="仿宋" w:eastAsia="仿宋_GB2312"/>
          <w:color w:val="000000" w:themeColor="text1"/>
          <w:sz w:val="32"/>
          <w:szCs w:val="32"/>
          <w:lang w:val="zh-CN"/>
        </w:rPr>
      </w:pPr>
    </w:p>
    <w:bookmarkEnd w:id="1"/>
    <w:p>
      <w:pPr>
        <w:pStyle w:val="2"/>
        <w:spacing w:before="120" w:after="120" w:line="240" w:lineRule="auto"/>
        <w:jc w:val="center"/>
        <w:rPr>
          <w:rFonts w:ascii="仿宋_GB2312" w:hAnsi="仿宋" w:eastAsia="仿宋_GB2312"/>
          <w:color w:val="000000" w:themeColor="text1"/>
          <w:sz w:val="32"/>
          <w:szCs w:val="32"/>
        </w:rPr>
      </w:pPr>
      <w:bookmarkStart w:id="2" w:name="_Toc430684122"/>
      <w:bookmarkStart w:id="3" w:name="_Toc430176613"/>
      <w:r>
        <w:rPr>
          <w:rFonts w:ascii="仿宋_GB2312" w:hAnsi="仿宋" w:eastAsia="仿宋_GB2312"/>
          <w:color w:val="000000" w:themeColor="text1"/>
          <w:sz w:val="32"/>
          <w:szCs w:val="32"/>
        </w:rPr>
        <w:t>第一章 总 则</w:t>
      </w:r>
      <w:bookmarkEnd w:id="2"/>
    </w:p>
    <w:bookmarkEnd w:id="3"/>
    <w:p>
      <w:pPr>
        <w:numPr>
          <w:ilvl w:val="0"/>
          <w:numId w:val="1"/>
        </w:numPr>
        <w:tabs>
          <w:tab w:val="clear" w:pos="1429"/>
        </w:tabs>
        <w:spacing w:line="560" w:lineRule="exact"/>
        <w:ind w:left="0"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为规范电力中长期交易，依法维护电力市场主体的合法权益，推进统一开放、竞争有序的电力市场体系建设，根据《中共中央</w:t>
      </w:r>
      <w:r>
        <w:rPr>
          <w:rFonts w:ascii="仿宋_GB2312" w:hAnsi="仿宋" w:eastAsia="仿宋_GB2312"/>
          <w:color w:val="000000" w:themeColor="text1"/>
          <w:sz w:val="32"/>
          <w:szCs w:val="32"/>
        </w:rPr>
        <w:t xml:space="preserve"> </w:t>
      </w:r>
      <w:r>
        <w:rPr>
          <w:rFonts w:hint="eastAsia" w:ascii="仿宋_GB2312" w:hAnsi="仿宋" w:eastAsia="仿宋_GB2312"/>
          <w:color w:val="000000" w:themeColor="text1"/>
          <w:sz w:val="32"/>
          <w:szCs w:val="32"/>
        </w:rPr>
        <w:t>国务院关于进一步深化电力体制改革的若干意见》（中发〔2015〕9号）及其配套文件和有关法律、法规规定，制定本规则。</w:t>
      </w:r>
    </w:p>
    <w:p>
      <w:pPr>
        <w:pStyle w:val="40"/>
        <w:numPr>
          <w:ilvl w:val="0"/>
          <w:numId w:val="1"/>
        </w:numPr>
        <w:tabs>
          <w:tab w:val="left" w:pos="0"/>
          <w:tab w:val="clear" w:pos="1429"/>
        </w:tabs>
        <w:spacing w:line="560" w:lineRule="exact"/>
        <w:ind w:left="0" w:firstLine="640" w:firstLineChars="200"/>
        <w:jc w:val="both"/>
        <w:rPr>
          <w:rFonts w:ascii="仿宋_GB2312" w:hAnsi="仿宋" w:eastAsia="仿宋_GB2312"/>
          <w:color w:val="000000" w:themeColor="text1"/>
          <w:sz w:val="32"/>
          <w:szCs w:val="32"/>
        </w:rPr>
      </w:pPr>
      <w:bookmarkStart w:id="4" w:name="OLE_LINK70"/>
      <w:bookmarkStart w:id="5" w:name="OLE_LINK69"/>
      <w:r>
        <w:rPr>
          <w:rFonts w:ascii="仿宋_GB2312" w:hAnsi="仿宋" w:eastAsia="仿宋_GB2312"/>
          <w:color w:val="000000" w:themeColor="text1"/>
          <w:sz w:val="32"/>
          <w:szCs w:val="32"/>
        </w:rPr>
        <w:t xml:space="preserve"> </w:t>
      </w:r>
      <w:bookmarkEnd w:id="4"/>
      <w:bookmarkEnd w:id="5"/>
      <w:r>
        <w:rPr>
          <w:rFonts w:hint="eastAsia" w:ascii="仿宋_GB2312" w:hAnsi="仿宋" w:eastAsia="仿宋_GB2312"/>
          <w:color w:val="000000" w:themeColor="text1"/>
          <w:sz w:val="32"/>
          <w:szCs w:val="32"/>
        </w:rPr>
        <w:t>未开展电力现货交易的地区，电力中长期交易执行本规则。开展电力现货交易的地区，可结合实际，制定与现货交易相衔接的电力中长期交易规则。</w:t>
      </w:r>
    </w:p>
    <w:p>
      <w:pPr>
        <w:numPr>
          <w:ilvl w:val="0"/>
          <w:numId w:val="1"/>
        </w:numPr>
        <w:spacing w:line="560" w:lineRule="exact"/>
        <w:ind w:left="0"/>
        <w:rPr>
          <w:rFonts w:ascii="仿宋_GB2312" w:hAnsi="仿宋" w:eastAsia="仿宋_GB2312"/>
          <w:color w:val="000000" w:themeColor="text1"/>
          <w:sz w:val="32"/>
          <w:szCs w:val="32"/>
        </w:rPr>
      </w:pPr>
      <w:r>
        <w:rPr>
          <w:rFonts w:ascii="仿宋_GB2312" w:hAnsi="仿宋" w:eastAsia="仿宋_GB2312"/>
          <w:color w:val="000000" w:themeColor="text1"/>
        </w:rPr>
        <w:t xml:space="preserve"> </w:t>
      </w:r>
      <w:r>
        <w:rPr>
          <w:rFonts w:hint="eastAsia" w:ascii="仿宋_GB2312" w:hAnsi="仿宋" w:eastAsia="仿宋_GB2312"/>
          <w:color w:val="000000" w:themeColor="text1"/>
          <w:sz w:val="32"/>
          <w:szCs w:val="32"/>
        </w:rPr>
        <w:t>本规则所称电力中长期交易指发电企业、电力用户、售电公司等市场主体，通过双边协商、集中交易等市场化方式，开展的多年、年、季、月、周、多日等电力批发交易。</w:t>
      </w:r>
      <w:r>
        <w:rPr>
          <w:rFonts w:ascii="仿宋_GB2312" w:hAnsi="仿宋" w:eastAsia="仿宋_GB2312"/>
          <w:color w:val="000000" w:themeColor="text1"/>
          <w:sz w:val="32"/>
          <w:szCs w:val="32"/>
        </w:rPr>
        <w:t xml:space="preserve"> </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执行政府定价的优先发电电量和分配给燃煤（气）机组的基数电量（二者统称为计划电量）视为厂网间双边交易电量，签订厂网间购售电合同，相应合同纳入电力中长期交易合同管理范畴，其执行和结算均须遵守本规则。</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电力辅助服务市场（补偿）机制相关规则另行制定。</w:t>
      </w:r>
    </w:p>
    <w:p>
      <w:pPr>
        <w:pStyle w:val="40"/>
        <w:numPr>
          <w:ilvl w:val="0"/>
          <w:numId w:val="1"/>
        </w:numPr>
        <w:tabs>
          <w:tab w:val="left" w:pos="0"/>
          <w:tab w:val="clear" w:pos="1429"/>
        </w:tabs>
        <w:spacing w:line="560" w:lineRule="exact"/>
        <w:ind w:left="0" w:firstLine="640" w:firstLineChars="200"/>
        <w:jc w:val="both"/>
        <w:rPr>
          <w:rFonts w:ascii="仿宋_GB2312" w:hAnsi="仿宋" w:eastAsia="仿宋_GB2312"/>
          <w:color w:val="000000" w:themeColor="text1"/>
        </w:rPr>
      </w:pPr>
      <w:r>
        <w:rPr>
          <w:rFonts w:ascii="仿宋_GB2312" w:hAnsi="仿宋" w:eastAsia="仿宋_GB2312"/>
          <w:color w:val="000000" w:themeColor="text1"/>
          <w:sz w:val="32"/>
          <w:szCs w:val="32"/>
        </w:rPr>
        <w:t xml:space="preserve"> </w:t>
      </w:r>
      <w:r>
        <w:rPr>
          <w:rFonts w:hint="eastAsia" w:ascii="仿宋_GB2312" w:hAnsi="仿宋" w:eastAsia="仿宋_GB2312"/>
          <w:color w:val="000000" w:themeColor="text1"/>
          <w:sz w:val="32"/>
          <w:szCs w:val="32"/>
        </w:rPr>
        <w:t>电力市场成员应当严格遵守市场规则，自觉自律，不得操纵市场价格、损害其他市场主体的合法权益。</w:t>
      </w:r>
    </w:p>
    <w:p>
      <w:pPr>
        <w:pStyle w:val="40"/>
        <w:tabs>
          <w:tab w:val="left" w:pos="0"/>
        </w:tabs>
        <w:spacing w:line="560" w:lineRule="exact"/>
        <w:ind w:firstLine="640"/>
        <w:jc w:val="both"/>
        <w:rPr>
          <w:rFonts w:ascii="仿宋_GB2312" w:hAnsi="仿宋" w:eastAsia="仿宋_GB2312"/>
          <w:color w:val="000000" w:themeColor="text1"/>
        </w:rPr>
      </w:pPr>
      <w:r>
        <w:rPr>
          <w:rFonts w:hint="eastAsia" w:ascii="仿宋_GB2312" w:hAnsi="仿宋" w:eastAsia="仿宋_GB2312"/>
          <w:color w:val="000000" w:themeColor="text1"/>
          <w:sz w:val="32"/>
          <w:szCs w:val="32"/>
        </w:rPr>
        <w:t>任何单位和个人不得非法干预市场正常运行。</w:t>
      </w:r>
    </w:p>
    <w:p>
      <w:pPr>
        <w:pStyle w:val="40"/>
        <w:numPr>
          <w:ilvl w:val="0"/>
          <w:numId w:val="1"/>
        </w:numPr>
        <w:tabs>
          <w:tab w:val="left" w:pos="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国家发展改革委和国家能源局会同有关部门加强对各地发用电计划放开实施方案制定和具体工作推进的指导和监督；适时组织评估有序放开发用电计划工作，总结经验、分析问题、完善政策。</w:t>
      </w:r>
    </w:p>
    <w:p>
      <w:pPr>
        <w:pStyle w:val="40"/>
        <w:tabs>
          <w:tab w:val="left" w:pos="0"/>
        </w:tabs>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国家能源局依法组织制定电力市场规划、市场规则、市场监管办法，</w:t>
      </w:r>
      <w:r>
        <w:rPr>
          <w:rFonts w:hint="eastAsia" w:ascii="仿宋_GB2312" w:hAnsi="仿宋" w:eastAsia="仿宋_GB2312"/>
          <w:sz w:val="32"/>
          <w:szCs w:val="32"/>
        </w:rPr>
        <w:t>区域派出监管机构会同地方政府对区域电力市场和区域电力交易机构实施监管</w:t>
      </w:r>
      <w:r>
        <w:rPr>
          <w:rFonts w:hint="eastAsia" w:ascii="仿宋_GB2312" w:hAnsi="仿宋" w:eastAsia="仿宋_GB2312"/>
          <w:color w:val="000000" w:themeColor="text1"/>
          <w:sz w:val="32"/>
          <w:szCs w:val="32"/>
        </w:rPr>
        <w:t>。</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国家能源局派出监管机构和地方政府电力管理部门根据职能依法履行省（区、市）电力中长期交易监管职责。</w:t>
      </w:r>
    </w:p>
    <w:p>
      <w:pPr>
        <w:pStyle w:val="2"/>
        <w:spacing w:before="120" w:after="120" w:line="240" w:lineRule="auto"/>
        <w:jc w:val="center"/>
        <w:rPr>
          <w:rFonts w:ascii="仿宋_GB2312" w:hAnsi="仿宋" w:eastAsia="仿宋_GB2312"/>
          <w:color w:val="000000" w:themeColor="text1"/>
          <w:sz w:val="32"/>
          <w:szCs w:val="32"/>
        </w:rPr>
      </w:pPr>
      <w:bookmarkStart w:id="6" w:name="_Toc430684123"/>
      <w:r>
        <w:rPr>
          <w:rFonts w:ascii="仿宋_GB2312" w:hAnsi="仿宋" w:eastAsia="仿宋_GB2312"/>
          <w:color w:val="000000" w:themeColor="text1"/>
          <w:sz w:val="32"/>
          <w:szCs w:val="32"/>
        </w:rPr>
        <w:t>第二章 市场</w:t>
      </w:r>
      <w:bookmarkEnd w:id="6"/>
      <w:r>
        <w:rPr>
          <w:rFonts w:hint="eastAsia" w:ascii="仿宋_GB2312" w:hAnsi="仿宋" w:eastAsia="仿宋_GB2312"/>
          <w:color w:val="000000" w:themeColor="text1"/>
          <w:sz w:val="32"/>
          <w:szCs w:val="32"/>
        </w:rPr>
        <w:t>成员</w:t>
      </w:r>
    </w:p>
    <w:p>
      <w:pPr>
        <w:pStyle w:val="40"/>
        <w:numPr>
          <w:ilvl w:val="0"/>
          <w:numId w:val="1"/>
        </w:numPr>
        <w:tabs>
          <w:tab w:val="left" w:pos="0"/>
        </w:tabs>
        <w:spacing w:line="560" w:lineRule="exact"/>
        <w:jc w:val="both"/>
        <w:rPr>
          <w:rFonts w:ascii="仿宋_GB2312" w:hAnsi="仿宋" w:eastAsia="仿宋_GB2312"/>
          <w:color w:val="000000" w:themeColor="text1"/>
          <w:sz w:val="32"/>
          <w:szCs w:val="32"/>
          <w:u w:val="single"/>
        </w:rPr>
      </w:pPr>
      <w:r>
        <w:rPr>
          <w:rFonts w:ascii="仿宋_GB2312" w:hAnsi="仿宋" w:eastAsia="仿宋_GB2312"/>
          <w:color w:val="000000" w:themeColor="text1"/>
          <w:sz w:val="32"/>
          <w:szCs w:val="32"/>
        </w:rPr>
        <w:t xml:space="preserve"> 市场成员包括各类发电企业、售电公司、电力用户、电网企业、电力交易机构、电力调度机构等。</w:t>
      </w:r>
      <w:r>
        <w:rPr>
          <w:rFonts w:hint="eastAsia" w:ascii="仿宋_GB2312" w:hAnsi="仿宋" w:eastAsia="仿宋_GB2312"/>
          <w:sz w:val="32"/>
          <w:szCs w:val="32"/>
        </w:rPr>
        <w:t>根据市场发展情况，逐步引入储能等负荷资源。</w:t>
      </w:r>
    </w:p>
    <w:p>
      <w:pPr>
        <w:pStyle w:val="3"/>
        <w:spacing w:before="120" w:after="120" w:line="240" w:lineRule="auto"/>
        <w:jc w:val="center"/>
        <w:rPr>
          <w:rFonts w:ascii="仿宋_GB2312" w:hAnsi="仿宋" w:eastAsia="仿宋_GB2312"/>
          <w:b w:val="0"/>
          <w:color w:val="000000" w:themeColor="text1"/>
        </w:rPr>
      </w:pPr>
      <w:r>
        <w:rPr>
          <w:rFonts w:hint="eastAsia" w:ascii="仿宋_GB2312" w:hAnsi="仿宋" w:eastAsia="仿宋_GB2312"/>
          <w:b w:val="0"/>
          <w:color w:val="000000" w:themeColor="text1"/>
        </w:rPr>
        <w:t>第一节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权利与义务</w:t>
      </w:r>
    </w:p>
    <w:p>
      <w:pPr>
        <w:pStyle w:val="40"/>
        <w:numPr>
          <w:ilvl w:val="0"/>
          <w:numId w:val="1"/>
        </w:numPr>
        <w:tabs>
          <w:tab w:val="left" w:pos="0"/>
        </w:tabs>
        <w:spacing w:line="560" w:lineRule="exact"/>
        <w:ind w:left="0" w:firstLine="640" w:firstLineChars="200"/>
        <w:jc w:val="both"/>
        <w:rPr>
          <w:rFonts w:ascii="仿宋_GB2312" w:hAnsi="仿宋" w:eastAsia="仿宋_GB2312"/>
          <w:color w:val="000000" w:themeColor="text1"/>
          <w:sz w:val="32"/>
        </w:rPr>
      </w:pPr>
      <w:bookmarkStart w:id="7" w:name="OLE_LINK14"/>
      <w:r>
        <w:rPr>
          <w:rFonts w:hint="eastAsia" w:ascii="仿宋_GB2312" w:hAnsi="仿宋" w:eastAsia="仿宋_GB2312"/>
          <w:color w:val="000000" w:themeColor="text1"/>
          <w:sz w:val="32"/>
        </w:rPr>
        <w:t xml:space="preserve"> 发电企业的权利和义务：</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（一）</w:t>
      </w:r>
      <w:r>
        <w:rPr>
          <w:rFonts w:hint="eastAsia" w:ascii="仿宋_GB2312" w:hAnsi="仿宋" w:eastAsia="仿宋_GB2312"/>
          <w:color w:val="000000" w:themeColor="text1"/>
          <w:sz w:val="32"/>
          <w:szCs w:val="24"/>
        </w:rPr>
        <w:t>按规定参与电力交易，签订和履行各类交易合同，按时完成电费结算；</w:t>
      </w:r>
    </w:p>
    <w:p>
      <w:pPr>
        <w:spacing w:line="560" w:lineRule="exact"/>
        <w:ind w:firstLine="640" w:firstLineChars="200"/>
        <w:rPr>
          <w:rFonts w:ascii="仿宋_GB2312" w:hAnsi="仿宋" w:eastAsia="仿宋_GB2312"/>
          <w:color w:val="000000" w:themeColor="text1"/>
          <w:sz w:val="32"/>
          <w:szCs w:val="24"/>
        </w:rPr>
      </w:pPr>
      <w:r>
        <w:rPr>
          <w:rFonts w:hint="eastAsia" w:ascii="仿宋_GB2312" w:hAnsi="仿宋" w:eastAsia="仿宋_GB2312"/>
          <w:color w:val="000000" w:themeColor="text1"/>
          <w:sz w:val="32"/>
        </w:rPr>
        <w:t>（二）</w:t>
      </w:r>
      <w:r>
        <w:rPr>
          <w:rFonts w:hint="eastAsia" w:ascii="仿宋_GB2312" w:hAnsi="仿宋" w:eastAsia="仿宋_GB2312"/>
          <w:color w:val="000000" w:themeColor="text1"/>
          <w:sz w:val="32"/>
          <w:szCs w:val="24"/>
        </w:rPr>
        <w:t>获得公平的输电服务和电网接入服务；</w:t>
      </w:r>
    </w:p>
    <w:p>
      <w:pPr>
        <w:spacing w:line="560" w:lineRule="exact"/>
        <w:ind w:firstLine="640" w:firstLineChars="200"/>
        <w:rPr>
          <w:rFonts w:ascii="仿宋_GB2312" w:hAnsi="仿宋" w:eastAsia="仿宋_GB2312"/>
          <w:color w:val="000000" w:themeColor="text1"/>
          <w:sz w:val="32"/>
          <w:szCs w:val="24"/>
        </w:rPr>
      </w:pPr>
      <w:r>
        <w:rPr>
          <w:rFonts w:hint="eastAsia" w:ascii="仿宋_GB2312" w:hAnsi="仿宋" w:eastAsia="仿宋_GB2312"/>
          <w:color w:val="000000" w:themeColor="text1"/>
          <w:sz w:val="32"/>
          <w:szCs w:val="24"/>
        </w:rPr>
        <w:t>（三）签订并执行并网调度协议，服从电力调度机构的统一调度；</w:t>
      </w:r>
    </w:p>
    <w:p>
      <w:pPr>
        <w:spacing w:line="560" w:lineRule="exact"/>
        <w:ind w:firstLine="640" w:firstLineChars="200"/>
        <w:rPr>
          <w:rFonts w:ascii="仿宋_GB2312" w:hAnsi="仿宋" w:eastAsia="仿宋_GB2312"/>
          <w:color w:val="000000" w:themeColor="text1"/>
          <w:sz w:val="32"/>
          <w:szCs w:val="24"/>
        </w:rPr>
      </w:pPr>
      <w:r>
        <w:rPr>
          <w:rFonts w:hint="eastAsia" w:ascii="仿宋_GB2312" w:hAnsi="仿宋" w:eastAsia="仿宋_GB2312"/>
          <w:color w:val="000000" w:themeColor="text1"/>
          <w:sz w:val="32"/>
          <w:szCs w:val="24"/>
        </w:rPr>
        <w:t>（四）按规定披露和提供信息，获得市场化交易和输配电服务等相关信息；</w:t>
      </w:r>
    </w:p>
    <w:p>
      <w:pPr>
        <w:spacing w:line="560" w:lineRule="exact"/>
        <w:ind w:firstLine="640" w:firstLineChars="200"/>
        <w:rPr>
          <w:rFonts w:ascii="仿宋_GB2312" w:hAnsi="仿宋" w:eastAsia="仿宋_GB2312"/>
          <w:color w:val="000000" w:themeColor="text1"/>
          <w:sz w:val="32"/>
          <w:szCs w:val="24"/>
        </w:rPr>
      </w:pPr>
      <w:r>
        <w:rPr>
          <w:rFonts w:hint="eastAsia" w:ascii="仿宋_GB2312" w:hAnsi="仿宋" w:eastAsia="仿宋_GB2312"/>
          <w:color w:val="000000" w:themeColor="text1"/>
          <w:sz w:val="32"/>
          <w:szCs w:val="24"/>
        </w:rPr>
        <w:t>（五）具备满足参与市场化交易要求的技术支持手段；</w:t>
      </w:r>
    </w:p>
    <w:p>
      <w:pPr>
        <w:spacing w:line="560" w:lineRule="exact"/>
        <w:ind w:firstLine="640" w:firstLineChars="200"/>
        <w:rPr>
          <w:rFonts w:ascii="仿宋_GB2312" w:hAnsi="仿宋" w:eastAsia="仿宋_GB2312"/>
          <w:color w:val="000000" w:themeColor="text1"/>
          <w:sz w:val="32"/>
          <w:szCs w:val="24"/>
        </w:rPr>
      </w:pPr>
      <w:r>
        <w:rPr>
          <w:rFonts w:hint="eastAsia" w:ascii="仿宋_GB2312" w:hAnsi="仿宋" w:eastAsia="仿宋_GB2312"/>
          <w:color w:val="000000" w:themeColor="text1"/>
          <w:sz w:val="32"/>
          <w:szCs w:val="24"/>
        </w:rPr>
        <w:t>（六）法律法规规定的其他权利和义务。</w:t>
      </w:r>
    </w:p>
    <w:p>
      <w:pPr>
        <w:pStyle w:val="40"/>
        <w:numPr>
          <w:ilvl w:val="0"/>
          <w:numId w:val="1"/>
        </w:numPr>
        <w:spacing w:line="560" w:lineRule="exact"/>
        <w:jc w:val="both"/>
        <w:rPr>
          <w:rFonts w:ascii="仿宋_GB2312" w:hAnsi="仿宋" w:eastAsia="仿宋_GB2312"/>
          <w:color w:val="000000" w:themeColor="text1"/>
          <w:sz w:val="32"/>
        </w:rPr>
      </w:pPr>
      <w:bookmarkStart w:id="8" w:name="OLE_LINK17"/>
      <w:bookmarkStart w:id="9" w:name="OLE_LINK16"/>
      <w:r>
        <w:rPr>
          <w:rFonts w:hint="eastAsia" w:ascii="仿宋_GB2312" w:hAnsi="仿宋" w:eastAsia="仿宋_GB2312"/>
          <w:color w:val="000000" w:themeColor="text1"/>
          <w:sz w:val="32"/>
        </w:rPr>
        <w:t xml:space="preserve"> 电力用户</w:t>
      </w:r>
      <w:bookmarkEnd w:id="8"/>
      <w:r>
        <w:rPr>
          <w:rFonts w:hint="eastAsia" w:ascii="仿宋_GB2312" w:hAnsi="仿宋" w:eastAsia="仿宋_GB2312"/>
          <w:color w:val="000000" w:themeColor="text1"/>
          <w:sz w:val="32"/>
        </w:rPr>
        <w:t>的权利和义务：</w:t>
      </w:r>
    </w:p>
    <w:bookmarkEnd w:id="9"/>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（一）按规定参与电力市场化交易，签订和履行购售电合同、输配电服务合同，</w:t>
      </w:r>
      <w:r>
        <w:rPr>
          <w:rFonts w:hint="eastAsia" w:ascii="仿宋_GB2312" w:hAnsi="仿宋" w:eastAsia="仿宋_GB2312"/>
          <w:color w:val="000000" w:themeColor="text1"/>
          <w:sz w:val="32"/>
          <w:lang w:val="zh-CN"/>
        </w:rPr>
        <w:t>提供</w:t>
      </w:r>
      <w:r>
        <w:rPr>
          <w:rFonts w:hint="eastAsia" w:ascii="仿宋_GB2312" w:hAnsi="仿宋" w:eastAsia="仿宋_GB2312"/>
          <w:color w:val="000000" w:themeColor="text1"/>
          <w:sz w:val="32"/>
          <w:szCs w:val="22"/>
        </w:rPr>
        <w:t>市场化交易</w:t>
      </w:r>
      <w:r>
        <w:rPr>
          <w:rFonts w:hint="eastAsia" w:ascii="仿宋_GB2312" w:hAnsi="仿宋" w:eastAsia="仿宋_GB2312"/>
          <w:color w:val="000000" w:themeColor="text1"/>
          <w:sz w:val="32"/>
          <w:lang w:val="zh-CN"/>
        </w:rPr>
        <w:t>所必须的电力电量需求、典型负荷曲线及相关生产信息</w:t>
      </w:r>
      <w:r>
        <w:rPr>
          <w:rFonts w:hint="eastAsia" w:ascii="仿宋_GB2312" w:hAnsi="仿宋" w:eastAsia="仿宋_GB2312"/>
          <w:color w:val="000000" w:themeColor="text1"/>
          <w:sz w:val="32"/>
        </w:rPr>
        <w:t>；</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（二）获得公平的输配电服务和电网接入服务，按时支付购电费、输配电费、政府性基金及附加等；</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（三）依法依规披露和提供信息，获得市场化交易和输配电服务等相关信息；</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（四）服从电力调度机构的统一调度，在系统特殊运行状况下（如事故、严重供不应求等）按电力调度机构要求安排用电；</w:t>
      </w:r>
    </w:p>
    <w:p>
      <w:pPr>
        <w:pStyle w:val="40"/>
        <w:spacing w:line="560" w:lineRule="exact"/>
        <w:ind w:firstLine="640" w:firstLineChars="200"/>
        <w:jc w:val="both"/>
        <w:rPr>
          <w:rFonts w:ascii="仿宋_GB2312" w:hAnsi="仿宋" w:eastAsia="仿宋_GB2312"/>
          <w:color w:val="000000" w:themeColor="text1"/>
          <w:sz w:val="32"/>
          <w:lang w:val="zh-CN"/>
        </w:rPr>
      </w:pPr>
      <w:r>
        <w:rPr>
          <w:rFonts w:hint="eastAsia" w:ascii="仿宋_GB2312" w:hAnsi="仿宋" w:eastAsia="仿宋_GB2312"/>
          <w:color w:val="000000" w:themeColor="text1"/>
          <w:sz w:val="32"/>
        </w:rPr>
        <w:t>（五）遵守政府电力管理部门有关电力需求侧管理规定，</w:t>
      </w:r>
      <w:r>
        <w:rPr>
          <w:rFonts w:hint="eastAsia" w:ascii="仿宋_GB2312" w:hAnsi="仿宋" w:eastAsia="仿宋_GB2312"/>
          <w:color w:val="000000" w:themeColor="text1"/>
          <w:sz w:val="32"/>
          <w:lang w:val="zh-CN"/>
        </w:rPr>
        <w:t>执行有序用电管理，配合开展错避峰；</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（六）依法依规履行清洁能源消纳责任；</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（七）具备满足参与市场化交易要求的技术支持手段；</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（八）法律法规规定的其他权利和义务。</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rPr>
        <w:t xml:space="preserve"> 售电公司的权利和义务：</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（一）按规定参与电力市场化交易，签订和履行市场化交易合同，按时完成电费结算；</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（二）按规定披露和提供信息，在政府指定网站上公示公司资产、经营状况等情况和信用承诺，依法对公司重大事项进行公告，并定期公布公司年报；</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三）按规定向电力交易机构、电力调度机构提供签约零售用户的交易电力电量需求、典型负荷曲线及其他生产信息，获得市场化交易、输配电服务和签约市场主体的基础信息等相关信息，承担用户信息保密义务；</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（四）依法依规履行清洁能源消纳责任；</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（五）具备满足参与市场化交易要求的技术支持手段；</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（六）拥有配电网运营权的售电公司承担配电区域内电费收取和结算业务；</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（七）法律法规规定的其他权利和义务。</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rPr>
        <w:t xml:space="preserve"> 电网企业的权利和义务：</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（一）保障电网及输配电设施的安全稳定运行；</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（二）为市场主体提供公平的输配电服务和电网接入服务，提供报装、计量、抄表、收费等各类供电服务；</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（三）建设、运行、维护和管理电网配套技术支持系统，服从电力调度机构的统一调度；</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（四）按规定披露和提供信息，向电力交易机构提供支撑市场化交易和市场服务所需的相关数据，按照国家网络安全有关规定实现与电力交易机构的数据交互；</w:t>
      </w:r>
    </w:p>
    <w:p>
      <w:pPr>
        <w:pStyle w:val="40"/>
        <w:spacing w:line="560" w:lineRule="exact"/>
        <w:ind w:firstLine="640" w:firstLineChars="200"/>
        <w:jc w:val="both"/>
        <w:rPr>
          <w:rFonts w:ascii="仿宋_GB2312" w:hAnsi="仿宋" w:eastAsia="仿宋_GB2312"/>
          <w:dstrike/>
          <w:color w:val="000000" w:themeColor="text1"/>
          <w:sz w:val="32"/>
        </w:rPr>
      </w:pPr>
      <w:r>
        <w:rPr>
          <w:rFonts w:hint="eastAsia" w:ascii="仿宋_GB2312" w:hAnsi="仿宋" w:eastAsia="仿宋_GB2312"/>
          <w:color w:val="000000" w:themeColor="text1"/>
          <w:sz w:val="32"/>
        </w:rPr>
        <w:t>（五）按规定收取输配电费，代收代付电费和政府性基金及附加等，按时完成电费结算；</w:t>
      </w:r>
    </w:p>
    <w:p>
      <w:pPr>
        <w:pStyle w:val="4"/>
        <w:spacing w:line="560" w:lineRule="exact"/>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（六）按政府定价或政府相关规定向优先购电用户以及其他不参与市场化交易的电力用户（以下统称“非市场用户”）提供供电服务，签订供用电合同；</w:t>
      </w:r>
    </w:p>
    <w:p>
      <w:pPr>
        <w:pStyle w:val="4"/>
        <w:spacing w:line="560" w:lineRule="exact"/>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（七）预测非市场用户的电力、电量需求等；</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（八）依法依规履行清洁能源消纳责任；</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（九）法律法规规定的其他权利和义务。</w:t>
      </w:r>
    </w:p>
    <w:p>
      <w:pPr>
        <w:pStyle w:val="40"/>
        <w:numPr>
          <w:ilvl w:val="0"/>
          <w:numId w:val="1"/>
        </w:numPr>
        <w:spacing w:line="560" w:lineRule="exact"/>
        <w:jc w:val="both"/>
        <w:rPr>
          <w:rFonts w:ascii="仿宋_GB2312" w:hAnsi="仿宋" w:eastAsia="仿宋_GB2312"/>
          <w:color w:val="000000" w:themeColor="text1"/>
          <w:sz w:val="32"/>
        </w:rPr>
      </w:pPr>
      <w:bookmarkStart w:id="10" w:name="OLE_LINK18"/>
      <w:r>
        <w:rPr>
          <w:rFonts w:hint="eastAsia" w:ascii="仿宋_GB2312" w:hAnsi="仿宋" w:eastAsia="仿宋_GB2312"/>
          <w:color w:val="000000" w:themeColor="text1"/>
          <w:sz w:val="32"/>
        </w:rPr>
        <w:t xml:space="preserve"> 电力交易机构的权利和义务：</w:t>
      </w:r>
    </w:p>
    <w:bookmarkEnd w:id="10"/>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（一）参与拟定相应电力交易规则；</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（二）提供各类市场主体的注册服务；</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（三）按规则组织电力市场交易，并负责交易合同的汇总管理；</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（四）提供电力交易结算依据及相关服务，按规定收取交易服务费；</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（五）建设、运营和维护电力市场化交易技术支持系统（以下简称“电力交易平台”）；</w:t>
      </w:r>
      <w:r>
        <w:rPr>
          <w:rFonts w:ascii="仿宋_GB2312" w:hAnsi="仿宋" w:eastAsia="仿宋_GB2312"/>
          <w:color w:val="000000" w:themeColor="text1"/>
          <w:sz w:val="32"/>
        </w:rPr>
        <w:t xml:space="preserve"> </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（六）按规定披露和发布信息，提供信息发布平台，为市场主体信息发布提供便利，获得市场成员提供的支撑市场化交易及服务需求的数据等；</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（七）配合国家能源局及其派出监管机构和政府电力管理部门对市场运营规则进行分析评估，提出修改建议；</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（八）监测和分析市场运行情况，依法依规可以干预市场，预防市场风险，并于事后向监管机构和政府相关部门及时报告；</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（九）对市场主体违反交易规则、扰乱市场秩序等违规行为进行报告并配合调查；</w:t>
      </w:r>
      <w:r>
        <w:rPr>
          <w:rFonts w:ascii="仿宋_GB2312" w:hAnsi="仿宋" w:eastAsia="仿宋_GB2312"/>
          <w:color w:val="000000" w:themeColor="text1"/>
          <w:sz w:val="32"/>
        </w:rPr>
        <w:t xml:space="preserve"> </w:t>
      </w:r>
    </w:p>
    <w:p>
      <w:pPr>
        <w:pStyle w:val="4"/>
        <w:ind w:firstLine="640"/>
        <w:rPr>
          <w:rFonts w:ascii="仿宋_GB2312" w:hAnsi="仿宋" w:eastAsia="仿宋_GB2312"/>
          <w:color w:val="000000" w:themeColor="text1"/>
          <w:sz w:val="32"/>
        </w:rPr>
      </w:pPr>
      <w:r>
        <w:rPr>
          <w:rFonts w:hint="eastAsia" w:ascii="仿宋_GB2312" w:hAnsi="仿宋" w:eastAsia="仿宋_GB2312"/>
          <w:color w:val="000000" w:themeColor="text1"/>
          <w:sz w:val="32"/>
        </w:rPr>
        <w:t>（十）法律法规规定的其他权利和义务。</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rPr>
        <w:t xml:space="preserve"> 电力调度机构的权利和义务：</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（一）负责安全校核；</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（二）按调度规程实施电力调度，负责系统实时平衡，保障电网安全稳定运行；</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（三）向电力交易机构提供安全约束边界和必开机组组合、必开机组发电量需求、影响限额的停电检修、关键通道可用输电容量等数据，配合电力交易机构履行市场运营职能；</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（四）合理安排电网运行方式，保障电力交易结果的执行（因电力调度机构自身原因造成实际执行与交易结果偏差时，由电力调度机构所在电网企业承担相应的经济责任），保障电力市场正常运行；</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（五）按规定披露和提供电网运行的相关信息，提供支撑市场化交易及市场服务所需的相关数据，按照国家网络安全有关规定实现与电力交易机构的数据交互；</w:t>
      </w:r>
    </w:p>
    <w:p>
      <w:pPr>
        <w:pStyle w:val="40"/>
        <w:spacing w:line="560" w:lineRule="exact"/>
        <w:ind w:firstLine="640" w:firstLineChars="200"/>
        <w:jc w:val="both"/>
        <w:rPr>
          <w:rFonts w:ascii="仿宋_GB2312" w:hAnsi="仿宋" w:eastAsia="仿宋_GB2312"/>
          <w:color w:val="000000" w:themeColor="text1"/>
          <w:sz w:val="32"/>
          <w:lang w:val="zh-CN"/>
        </w:rPr>
      </w:pPr>
      <w:r>
        <w:rPr>
          <w:rFonts w:hint="eastAsia" w:ascii="仿宋_GB2312" w:hAnsi="仿宋" w:eastAsia="仿宋_GB2312"/>
          <w:color w:val="000000" w:themeColor="text1"/>
          <w:sz w:val="32"/>
        </w:rPr>
        <w:t>（六）法律法规规定的其他权利和义务。</w:t>
      </w:r>
    </w:p>
    <w:bookmarkEnd w:id="7"/>
    <w:p>
      <w:pPr>
        <w:pStyle w:val="3"/>
        <w:spacing w:before="120" w:after="120" w:line="240" w:lineRule="auto"/>
        <w:jc w:val="center"/>
        <w:rPr>
          <w:rFonts w:ascii="仿宋_GB2312" w:hAnsi="仿宋" w:eastAsia="仿宋_GB2312"/>
          <w:b w:val="0"/>
          <w:color w:val="000000" w:themeColor="text1"/>
        </w:rPr>
      </w:pPr>
      <w:r>
        <w:rPr>
          <w:rFonts w:hint="eastAsia" w:ascii="仿宋_GB2312" w:hAnsi="仿宋" w:eastAsia="仿宋_GB2312"/>
          <w:b w:val="0"/>
          <w:color w:val="000000" w:themeColor="text1"/>
        </w:rPr>
        <w:t>第二节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准入与退出</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rPr>
        <w:t xml:space="preserve"> 市场主体应当是具有法人资格、财务独立核算、信用良好、能够独立承担民事责任的经济实体。内部核算的市场主体经法人单位授权，可参与相应电力交易。</w:t>
      </w:r>
    </w:p>
    <w:p>
      <w:pPr>
        <w:pStyle w:val="40"/>
        <w:numPr>
          <w:ilvl w:val="0"/>
          <w:numId w:val="1"/>
        </w:numPr>
        <w:tabs>
          <w:tab w:val="left" w:pos="0"/>
        </w:tabs>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rPr>
        <w:t>市场准入基本条件：</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（一）发电企业</w:t>
      </w:r>
    </w:p>
    <w:p>
      <w:pPr>
        <w:pStyle w:val="40"/>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 xml:space="preserve">1. 依法取得发电项目核准或备案文件，依法取得或者豁免电力业务许可证（发电类）; </w:t>
      </w:r>
    </w:p>
    <w:p>
      <w:pPr>
        <w:pStyle w:val="40"/>
        <w:numPr>
          <w:ilvl w:val="0"/>
          <w:numId w:val="2"/>
        </w:numPr>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 xml:space="preserve">并网自备电厂在公平承担发电企业社会责任、承担国家依法合规设立的政府性基金及附加以及与产业政策相符合的政策性交叉补贴，取得电力业务许可证（发电类），达到能效、环保要求，可作为市场主体参与市场化交易； </w:t>
      </w:r>
    </w:p>
    <w:p>
      <w:pPr>
        <w:pStyle w:val="40"/>
        <w:numPr>
          <w:ilvl w:val="0"/>
          <w:numId w:val="2"/>
        </w:numPr>
        <w:spacing w:line="560" w:lineRule="exact"/>
        <w:ind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分布式发电企业符合分布式发电市场化交易试点规则要求。</w:t>
      </w:r>
    </w:p>
    <w:p>
      <w:pPr>
        <w:pStyle w:val="40"/>
        <w:spacing w:line="560" w:lineRule="exact"/>
        <w:ind w:left="640"/>
        <w:jc w:val="both"/>
        <w:rPr>
          <w:rFonts w:ascii="仿宋_GB2312" w:hAnsi="仿宋" w:eastAsia="仿宋_GB2312"/>
          <w:color w:val="000000" w:themeColor="text1"/>
          <w:sz w:val="32"/>
        </w:rPr>
      </w:pPr>
      <w:r>
        <w:rPr>
          <w:rFonts w:hint="eastAsia" w:ascii="仿宋_GB2312" w:hAnsi="仿宋" w:eastAsia="仿宋_GB2312"/>
          <w:color w:val="000000" w:themeColor="text1"/>
          <w:sz w:val="32"/>
        </w:rPr>
        <w:t>（二）电力用户</w:t>
      </w:r>
    </w:p>
    <w:p>
      <w:pPr>
        <w:pStyle w:val="40"/>
        <w:spacing w:line="560" w:lineRule="exact"/>
        <w:ind w:firstLine="640" w:firstLineChars="200"/>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1.</w:t>
      </w:r>
      <w:r>
        <w:rPr>
          <w:rFonts w:hint="eastAsia" w:ascii="仿宋_GB2312" w:hAnsi="仿宋" w:eastAsia="仿宋_GB2312" w:cs="仿宋_GB2312"/>
          <w:color w:val="000000" w:themeColor="text1"/>
          <w:sz w:val="32"/>
          <w:szCs w:val="32"/>
        </w:rPr>
        <w:t>符合电网接入规范、满足电网安全技术要求，与电网企业签订正式供用电协议（合同）；</w:t>
      </w:r>
    </w:p>
    <w:p>
      <w:pPr>
        <w:pStyle w:val="40"/>
        <w:spacing w:line="560" w:lineRule="exact"/>
        <w:ind w:firstLine="640" w:firstLineChars="200"/>
        <w:jc w:val="both"/>
        <w:rPr>
          <w:rFonts w:ascii="仿宋_GB2312" w:hAnsi="仿宋" w:eastAsia="仿宋_GB2312" w:cs="仿宋_GB2312"/>
          <w:color w:val="000000" w:themeColor="text1"/>
          <w:sz w:val="32"/>
          <w:szCs w:val="32"/>
          <w:lang w:val="zh-CN"/>
        </w:rPr>
      </w:pPr>
      <w:r>
        <w:rPr>
          <w:rFonts w:ascii="仿宋_GB2312" w:hAnsi="仿宋" w:eastAsia="仿宋_GB2312" w:cs="仿宋_GB2312"/>
          <w:color w:val="000000" w:themeColor="text1"/>
          <w:sz w:val="32"/>
          <w:szCs w:val="32"/>
          <w:lang w:val="zh-CN"/>
        </w:rPr>
        <w:t>2.</w:t>
      </w:r>
      <w:r>
        <w:rPr>
          <w:rFonts w:hint="eastAsia" w:ascii="仿宋_GB2312" w:hAnsi="仿宋" w:eastAsia="仿宋_GB2312" w:cs="仿宋_GB2312"/>
          <w:color w:val="000000" w:themeColor="text1"/>
          <w:sz w:val="32"/>
          <w:szCs w:val="32"/>
          <w:lang w:val="zh-CN"/>
        </w:rPr>
        <w:t>经营性电力用户的发用电计划原则上全部放开。不符合国家产业政策的电力用户暂不参与市场化交易，产品和工艺属于淘汰类和限制类的电力用户严格执行现有差别电价政策；</w:t>
      </w:r>
    </w:p>
    <w:p>
      <w:pPr>
        <w:pStyle w:val="40"/>
        <w:spacing w:line="560" w:lineRule="exact"/>
        <w:ind w:firstLine="640" w:firstLineChars="200"/>
        <w:jc w:val="both"/>
        <w:rPr>
          <w:rFonts w:ascii="仿宋_GB2312" w:hAnsi="仿宋" w:eastAsia="仿宋_GB2312" w:cs="仿宋_GB2312"/>
          <w:color w:val="000000" w:themeColor="text1"/>
          <w:sz w:val="32"/>
          <w:szCs w:val="32"/>
          <w:lang w:val="zh-CN"/>
        </w:rPr>
      </w:pPr>
      <w:r>
        <w:rPr>
          <w:rFonts w:ascii="仿宋_GB2312" w:hAnsi="仿宋" w:eastAsia="仿宋_GB2312" w:cs="仿宋_GB2312"/>
          <w:color w:val="000000" w:themeColor="text1"/>
          <w:sz w:val="32"/>
          <w:szCs w:val="32"/>
        </w:rPr>
        <w:t>3.</w:t>
      </w:r>
      <w:r>
        <w:rPr>
          <w:rFonts w:hint="eastAsia" w:ascii="仿宋_GB2312" w:hAnsi="仿宋" w:eastAsia="仿宋_GB2312" w:cs="仿宋_GB2312"/>
          <w:color w:val="000000" w:themeColor="text1"/>
          <w:sz w:val="32"/>
          <w:szCs w:val="32"/>
          <w:lang w:val="zh-CN"/>
        </w:rPr>
        <w:t>拥有燃煤自备电厂的用户应当按国家规定承担政府性基金及附加、政策性交叉补贴；</w:t>
      </w:r>
    </w:p>
    <w:p>
      <w:pPr>
        <w:pStyle w:val="4"/>
        <w:ind w:firstLine="640"/>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4.具备相应的计量能力或替代技术手段，满足市场计量和结算的要求。</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（三）售电公司准入条件按照国家对售电公司准入与退出有关规定执行。拥有配电网运营权的售电公司应当取得电力业务许可证（供电类）。</w:t>
      </w:r>
    </w:p>
    <w:p>
      <w:pPr>
        <w:pStyle w:val="40"/>
        <w:numPr>
          <w:ilvl w:val="0"/>
          <w:numId w:val="1"/>
        </w:numPr>
        <w:tabs>
          <w:tab w:val="left" w:pos="0"/>
        </w:tabs>
        <w:spacing w:line="560" w:lineRule="exact"/>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 xml:space="preserve"> </w:t>
      </w:r>
      <w:r>
        <w:rPr>
          <w:rFonts w:hint="eastAsia" w:ascii="仿宋_GB2312" w:hAnsi="仿宋" w:eastAsia="仿宋_GB2312" w:cs="仿宋_GB2312"/>
          <w:color w:val="000000" w:themeColor="text1"/>
          <w:sz w:val="32"/>
          <w:szCs w:val="32"/>
        </w:rPr>
        <w:t>参加批发交易的市场主体及参加零售交易的电力用户均实行注册制。其中，参加零售交易的电力用户的注册手续和程序可以适当简化。</w:t>
      </w:r>
    </w:p>
    <w:p>
      <w:pPr>
        <w:pStyle w:val="40"/>
        <w:numPr>
          <w:ilvl w:val="0"/>
          <w:numId w:val="1"/>
        </w:numPr>
        <w:tabs>
          <w:tab w:val="left" w:pos="0"/>
        </w:tabs>
        <w:spacing w:line="560" w:lineRule="exact"/>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 xml:space="preserve"> </w:t>
      </w:r>
      <w:r>
        <w:rPr>
          <w:rFonts w:hint="eastAsia" w:ascii="仿宋_GB2312" w:hAnsi="仿宋" w:eastAsia="仿宋_GB2312" w:cs="仿宋_GB2312"/>
          <w:color w:val="000000" w:themeColor="text1"/>
          <w:sz w:val="32"/>
          <w:szCs w:val="32"/>
        </w:rPr>
        <w:t>参加市场化交易</w:t>
      </w:r>
      <w:bookmarkStart w:id="11" w:name="_Hlk24553206"/>
      <w:r>
        <w:rPr>
          <w:rFonts w:hint="eastAsia" w:ascii="仿宋_GB2312" w:hAnsi="仿宋" w:eastAsia="仿宋_GB2312" w:cs="仿宋_GB2312"/>
          <w:color w:val="000000" w:themeColor="text1"/>
          <w:sz w:val="32"/>
          <w:szCs w:val="32"/>
        </w:rPr>
        <w:t>（含批发、零售交易）</w:t>
      </w:r>
      <w:bookmarkEnd w:id="11"/>
      <w:r>
        <w:rPr>
          <w:rFonts w:hint="eastAsia" w:ascii="仿宋_GB2312" w:hAnsi="仿宋" w:eastAsia="仿宋_GB2312" w:cs="仿宋_GB2312"/>
          <w:color w:val="000000" w:themeColor="text1"/>
          <w:sz w:val="32"/>
          <w:szCs w:val="32"/>
        </w:rPr>
        <w:t>的电力用户全部电量需通过批发或者零售交易购买，且不得同时参加批发交易和零售交易。所有参加市场化交易的电力用户均不再执行目录电价。</w:t>
      </w:r>
    </w:p>
    <w:p>
      <w:pPr>
        <w:pStyle w:val="40"/>
        <w:tabs>
          <w:tab w:val="left" w:pos="0"/>
        </w:tabs>
        <w:spacing w:line="560" w:lineRule="exact"/>
        <w:ind w:left="85" w:firstLine="640" w:firstLineChars="2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参加市场化交易的电力用户，允许在合同期满的下一个年度，按照准入条件选择参加批发或者零售交易。</w:t>
      </w:r>
    </w:p>
    <w:p>
      <w:pPr>
        <w:pStyle w:val="40"/>
        <w:numPr>
          <w:ilvl w:val="0"/>
          <w:numId w:val="1"/>
        </w:numPr>
        <w:tabs>
          <w:tab w:val="left" w:pos="0"/>
        </w:tabs>
        <w:spacing w:line="560" w:lineRule="exact"/>
        <w:ind w:left="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已经选择市场化交易的发电企业和电力用户，原则上不得自行退出市场。下述情况下，可办理正常退市手续：</w:t>
      </w:r>
    </w:p>
    <w:p>
      <w:pPr>
        <w:pStyle w:val="40"/>
        <w:tabs>
          <w:tab w:val="left" w:pos="0"/>
          <w:tab w:val="left" w:pos="312"/>
        </w:tabs>
        <w:spacing w:line="560" w:lineRule="exact"/>
        <w:ind w:firstLine="640" w:firstLineChars="200"/>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1. 市场主体宣告破产，不再发电或用电；</w:t>
      </w:r>
    </w:p>
    <w:p>
      <w:pPr>
        <w:pStyle w:val="40"/>
        <w:tabs>
          <w:tab w:val="left" w:pos="0"/>
          <w:tab w:val="left" w:pos="312"/>
        </w:tabs>
        <w:spacing w:line="560" w:lineRule="exact"/>
        <w:ind w:firstLine="640" w:firstLineChars="200"/>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2. 因</w:t>
      </w:r>
      <w:r>
        <w:rPr>
          <w:rFonts w:hint="eastAsia" w:ascii="仿宋_GB2312" w:hAnsi="仿宋" w:eastAsia="仿宋_GB2312" w:cs="仿宋_GB2312"/>
          <w:color w:val="000000" w:themeColor="text1"/>
          <w:sz w:val="32"/>
          <w:szCs w:val="32"/>
        </w:rPr>
        <w:t>国家政策、电力市场规则发生重大调整，导致原有市场主体非自身原因无法继续参加市场的情况；</w:t>
      </w:r>
    </w:p>
    <w:p>
      <w:pPr>
        <w:pStyle w:val="40"/>
        <w:tabs>
          <w:tab w:val="left" w:pos="0"/>
          <w:tab w:val="left" w:pos="312"/>
        </w:tabs>
        <w:spacing w:line="560" w:lineRule="exact"/>
        <w:ind w:firstLine="640" w:firstLineChars="200"/>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3. 因电网网架调整，导致发电企业、电力用户的发用电物理属性无法满足所在地区的市场准入条件。</w:t>
      </w:r>
    </w:p>
    <w:p>
      <w:pPr>
        <w:pStyle w:val="40"/>
        <w:tabs>
          <w:tab w:val="left" w:pos="0"/>
          <w:tab w:val="left" w:pos="312"/>
        </w:tabs>
        <w:spacing w:line="560" w:lineRule="exact"/>
        <w:ind w:firstLine="640" w:firstLineChars="2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上述市场主体，在办理正常退市手续后，执行国家相关的发用电政策。售电公司退出条件按照国家对售电公司准入与退出有关规定执行。</w:t>
      </w:r>
    </w:p>
    <w:p>
      <w:pPr>
        <w:pStyle w:val="40"/>
        <w:numPr>
          <w:ilvl w:val="0"/>
          <w:numId w:val="1"/>
        </w:numPr>
        <w:tabs>
          <w:tab w:val="left" w:pos="0"/>
        </w:tabs>
        <w:spacing w:line="560" w:lineRule="exact"/>
        <w:ind w:left="0" w:firstLine="640" w:firstLineChars="2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退出市场的市场主体需妥善处理其全部合同义务。非正常退市的市场主体，原则上原法人及其法人代表三年内均不得再选择市场化交易。</w:t>
      </w:r>
    </w:p>
    <w:p>
      <w:pPr>
        <w:pStyle w:val="40"/>
        <w:numPr>
          <w:ilvl w:val="0"/>
          <w:numId w:val="1"/>
        </w:numPr>
        <w:tabs>
          <w:tab w:val="left" w:pos="0"/>
        </w:tabs>
        <w:spacing w:line="560" w:lineRule="exact"/>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非正常退市的电力用户，由为其提供输配电服务的电网企业承担保底供电责任，用电价格按照政府价格主管部门确定的保底价格执行。</w:t>
      </w:r>
    </w:p>
    <w:p>
      <w:pPr>
        <w:pStyle w:val="40"/>
        <w:numPr>
          <w:ilvl w:val="0"/>
          <w:numId w:val="1"/>
        </w:numPr>
        <w:tabs>
          <w:tab w:val="left" w:pos="0"/>
        </w:tabs>
        <w:spacing w:line="560" w:lineRule="exact"/>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完成市场注册且已开展交易的电力用户，合同期满后未签订新的交易合同但发生实际用电时，不再按政府目录电价结算。其中，参加批发交易的用户按各地规则进行偏差结算，参加零售交易的用户按保底价格进行结算。</w:t>
      </w:r>
    </w:p>
    <w:p>
      <w:pPr>
        <w:pStyle w:val="40"/>
        <w:tabs>
          <w:tab w:val="left" w:pos="0"/>
        </w:tabs>
        <w:spacing w:line="560" w:lineRule="exact"/>
        <w:ind w:left="85" w:firstLine="640" w:firstLineChars="2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完成市场注册但未开展交易的电力用户，可探索公开招标确定售电公司提供零售服务等市场价格形成机制，也可执行政府目录电价。</w:t>
      </w:r>
    </w:p>
    <w:p>
      <w:pPr>
        <w:pStyle w:val="40"/>
        <w:tabs>
          <w:tab w:val="left" w:pos="0"/>
        </w:tabs>
        <w:spacing w:line="560" w:lineRule="exact"/>
        <w:ind w:left="85" w:firstLine="640"/>
        <w:jc w:val="both"/>
        <w:rPr>
          <w:rFonts w:ascii="仿宋_GB2312" w:hAnsi="仿宋" w:eastAsia="仿宋_GB2312"/>
          <w:color w:val="000000" w:themeColor="text1"/>
        </w:rPr>
      </w:pPr>
      <w:r>
        <w:rPr>
          <w:rFonts w:ascii="仿宋_GB2312" w:hAnsi="仿宋" w:eastAsia="仿宋_GB2312" w:cs="仿宋_GB2312"/>
          <w:color w:val="000000" w:themeColor="text1"/>
          <w:sz w:val="32"/>
          <w:szCs w:val="32"/>
        </w:rPr>
        <w:t xml:space="preserve">    </w:t>
      </w:r>
    </w:p>
    <w:p>
      <w:pPr>
        <w:pStyle w:val="2"/>
        <w:spacing w:before="120" w:after="120" w:line="240" w:lineRule="auto"/>
        <w:jc w:val="center"/>
        <w:rPr>
          <w:rFonts w:ascii="仿宋_GB2312" w:hAnsi="仿宋" w:eastAsia="仿宋_GB2312"/>
          <w:color w:val="000000" w:themeColor="text1"/>
          <w:sz w:val="32"/>
        </w:rPr>
      </w:pPr>
      <w:r>
        <w:rPr>
          <w:rFonts w:ascii="仿宋_GB2312" w:hAnsi="仿宋" w:eastAsia="仿宋_GB2312"/>
          <w:color w:val="000000" w:themeColor="text1"/>
          <w:sz w:val="32"/>
        </w:rPr>
        <w:t>第三章 市场注册、变更与注销</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市场注册业务包括注册、信息变更、市场注销及</w:t>
      </w:r>
      <w:bookmarkStart w:id="12" w:name="_Hlk24697490"/>
      <w:r>
        <w:rPr>
          <w:rFonts w:hint="eastAsia" w:ascii="仿宋_GB2312" w:hAnsi="仿宋" w:eastAsia="仿宋_GB2312"/>
          <w:color w:val="000000" w:themeColor="text1"/>
          <w:sz w:val="32"/>
          <w:szCs w:val="32"/>
        </w:rPr>
        <w:t>零售用户与售电公司业务关系确定</w:t>
      </w:r>
      <w:bookmarkEnd w:id="12"/>
      <w:r>
        <w:rPr>
          <w:rFonts w:hint="eastAsia" w:ascii="仿宋_GB2312" w:hAnsi="仿宋" w:eastAsia="仿宋_GB2312"/>
          <w:color w:val="000000" w:themeColor="text1"/>
          <w:sz w:val="32"/>
          <w:szCs w:val="32"/>
        </w:rPr>
        <w:t>等。</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市场主体参与电力市场化交易，应当符合准入条件，在电力交易机构办理市场注册，按有关规定履行承诺、公示、注册、备案等相关手续。市场主体应当保证注册提交材料的真实性、完整性。</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szCs w:val="32"/>
        </w:rPr>
        <w:t>企事业单位、机关团体等办理注册手续时应当关联用电户号等实际用电信息，并提供必要的单位名称、</w:t>
      </w:r>
      <w:r>
        <w:rPr>
          <w:rFonts w:hint="eastAsia" w:ascii="仿宋_GB2312" w:hAnsi="仿宋" w:eastAsia="仿宋_GB2312"/>
          <w:color w:val="000000" w:themeColor="text1"/>
          <w:sz w:val="32"/>
        </w:rPr>
        <w:t>法人代表、联系方式等。</w:t>
      </w:r>
    </w:p>
    <w:p>
      <w:pPr>
        <w:pStyle w:val="40"/>
        <w:spacing w:line="560" w:lineRule="exact"/>
        <w:ind w:left="85" w:firstLine="640" w:firstLineChars="20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参与批发交易的市场主体，应当办理数字安全证书或采取同等安全等级的身份认证手段。</w:t>
      </w:r>
    </w:p>
    <w:p>
      <w:pPr>
        <w:pStyle w:val="40"/>
        <w:numPr>
          <w:ilvl w:val="0"/>
          <w:numId w:val="1"/>
        </w:numPr>
        <w:spacing w:line="560" w:lineRule="exact"/>
        <w:jc w:val="both"/>
        <w:rPr>
          <w:rFonts w:ascii="仿宋_GB2312" w:hAnsi="仿宋" w:eastAsia="仿宋_GB2312"/>
          <w:color w:val="000000" w:themeColor="text1"/>
          <w:sz w:val="32"/>
        </w:rPr>
      </w:pPr>
      <w:bookmarkStart w:id="13" w:name="_Hlk24697527"/>
      <w:r>
        <w:rPr>
          <w:rFonts w:hint="eastAsia" w:ascii="仿宋_GB2312" w:hAnsi="仿宋" w:eastAsia="仿宋_GB2312"/>
          <w:color w:val="000000" w:themeColor="text1"/>
          <w:sz w:val="32"/>
        </w:rPr>
        <w:t>办理售电增项业务的发电企业，应当分别以发电企业和售电公司的市场主体类别进行注册</w:t>
      </w:r>
      <w:bookmarkEnd w:id="13"/>
      <w:r>
        <w:rPr>
          <w:rFonts w:hint="eastAsia" w:ascii="仿宋_GB2312" w:hAnsi="仿宋" w:eastAsia="仿宋_GB2312"/>
          <w:color w:val="000000" w:themeColor="text1"/>
          <w:sz w:val="32"/>
        </w:rPr>
        <w:t>。</w:t>
      </w:r>
    </w:p>
    <w:p>
      <w:pPr>
        <w:pStyle w:val="40"/>
        <w:numPr>
          <w:ilvl w:val="0"/>
          <w:numId w:val="1"/>
        </w:numPr>
        <w:spacing w:line="560" w:lineRule="exact"/>
        <w:jc w:val="both"/>
        <w:rPr>
          <w:rFonts w:ascii="仿宋_GB2312" w:hAnsi="仿宋" w:eastAsia="仿宋_GB2312"/>
          <w:color w:val="000000" w:themeColor="text1"/>
          <w:sz w:val="32"/>
          <w:szCs w:val="22"/>
        </w:rPr>
      </w:pPr>
      <w:r>
        <w:rPr>
          <w:rFonts w:hint="eastAsia" w:ascii="仿宋_GB2312" w:hAnsi="仿宋" w:eastAsia="仿宋_GB2312"/>
          <w:color w:val="000000" w:themeColor="text1"/>
          <w:sz w:val="32"/>
          <w:szCs w:val="22"/>
        </w:rPr>
        <w:t>当国家政策调整或交易规则发生重大变化时，电力交易机构可组织已注册市场主体重新办理注册手续。</w:t>
      </w:r>
    </w:p>
    <w:p>
      <w:pPr>
        <w:pStyle w:val="40"/>
        <w:numPr>
          <w:ilvl w:val="0"/>
          <w:numId w:val="1"/>
        </w:numPr>
        <w:spacing w:line="560" w:lineRule="exact"/>
        <w:jc w:val="both"/>
        <w:rPr>
          <w:rFonts w:ascii="仿宋_GB2312" w:hAnsi="仿宋" w:eastAsia="仿宋_GB2312"/>
          <w:color w:val="000000" w:themeColor="text1"/>
          <w:sz w:val="32"/>
          <w:szCs w:val="22"/>
        </w:rPr>
      </w:pPr>
      <w:r>
        <w:rPr>
          <w:rFonts w:hint="eastAsia" w:ascii="仿宋_GB2312" w:hAnsi="仿宋" w:eastAsia="仿宋_GB2312"/>
          <w:color w:val="000000" w:themeColor="text1"/>
          <w:sz w:val="32"/>
          <w:szCs w:val="22"/>
        </w:rPr>
        <w:t>市场主体注册信息发生变更时，应当及时向电力交易机构提出变更申请。市场主体类别、法人、业务范围、公司主要股东等有重大变化的，市场主体应当再次予以承诺、公示。公示期满无异议的，电力交易机构向社会发布。</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olor w:val="000000" w:themeColor="text1"/>
          <w:sz w:val="32"/>
        </w:rPr>
        <w:t>电力用户或售电公司关联的用户发生并户、销户、过户、改名或者用电类别、电压等级等信息发生变化时，市场主体应当在电网企业办理变更的同时，在电力交易机构办理注册信息变更手续。业务手续办理期间，电网企业需向电力交易机构提供分段计量数据。电力交易机构完成注册信息变更后，开展交易结算，提供结算依据。</w:t>
      </w:r>
    </w:p>
    <w:p>
      <w:pPr>
        <w:pStyle w:val="36"/>
        <w:numPr>
          <w:ilvl w:val="0"/>
          <w:numId w:val="1"/>
        </w:numPr>
        <w:tabs>
          <w:tab w:val="left" w:pos="0"/>
          <w:tab w:val="left" w:pos="1135"/>
        </w:tabs>
        <w:spacing w:line="560" w:lineRule="exact"/>
        <w:ind w:firstLine="646"/>
        <w:rPr>
          <w:rFonts w:ascii="仿宋_GB2312" w:hAnsi="仿宋" w:eastAsia="仿宋_GB2312" w:cs="仿宋_GB2312"/>
          <w:color w:val="000000" w:themeColor="text1"/>
          <w:sz w:val="32"/>
          <w:szCs w:val="32"/>
        </w:rPr>
      </w:pPr>
      <w:r>
        <w:rPr>
          <w:rFonts w:hint="eastAsia" w:ascii="仿宋_GB2312" w:hAnsi="仿宋" w:eastAsia="仿宋_GB2312"/>
          <w:color w:val="000000" w:themeColor="text1"/>
          <w:sz w:val="32"/>
          <w:szCs w:val="22"/>
        </w:rPr>
        <w:t>退出市场</w:t>
      </w:r>
      <w:r>
        <w:rPr>
          <w:rFonts w:hint="eastAsia" w:ascii="仿宋_GB2312" w:hAnsi="仿宋" w:eastAsia="仿宋_GB2312" w:cs="仿宋_GB2312"/>
          <w:color w:val="000000" w:themeColor="text1"/>
          <w:sz w:val="32"/>
          <w:szCs w:val="32"/>
        </w:rPr>
        <w:t>的市场主体，应当及时向电力交易机构提出注销申请，按要求进行公示，履行或处理完成交易合同有关事项后予以注销。</w:t>
      </w:r>
    </w:p>
    <w:p>
      <w:pPr>
        <w:pStyle w:val="40"/>
        <w:numPr>
          <w:ilvl w:val="0"/>
          <w:numId w:val="1"/>
        </w:numPr>
        <w:spacing w:line="560" w:lineRule="exact"/>
        <w:jc w:val="both"/>
        <w:rPr>
          <w:rFonts w:ascii="仿宋_GB2312" w:hAnsi="仿宋" w:eastAsia="仿宋_GB2312"/>
          <w:color w:val="000000" w:themeColor="text1"/>
          <w:sz w:val="32"/>
        </w:rPr>
      </w:pPr>
      <w:r>
        <w:rPr>
          <w:rFonts w:hint="eastAsia" w:ascii="仿宋_GB2312" w:hAnsi="仿宋" w:eastAsia="仿宋_GB2312" w:cs="仿宋_GB2312"/>
          <w:color w:val="000000" w:themeColor="text1"/>
          <w:sz w:val="32"/>
          <w:szCs w:val="32"/>
        </w:rPr>
        <w:t>发电企业、电力用户、增量配电网企业根据交易需求和调度管理关系在相应的电力交易机构办理注册手续；售电公司自主选择一家电力交易机构办理注册手续。各电力交易机构共享注册信息，无须重复注册，按照相应省区的准入条件和市场规则参与交易。电力交易机构根据市场主体注册情况向国家能源局及其派出监管机构、省级政府有关部门和政府引入的第三方征信机构备案，并通过政府指定网站和电力交易机构网站向社会公布。</w:t>
      </w:r>
    </w:p>
    <w:p>
      <w:pPr>
        <w:pStyle w:val="2"/>
        <w:spacing w:before="120" w:after="120" w:line="240" w:lineRule="auto"/>
        <w:jc w:val="center"/>
        <w:rPr>
          <w:rFonts w:ascii="仿宋_GB2312" w:hAnsi="仿宋" w:eastAsia="仿宋_GB2312"/>
          <w:color w:val="000000" w:themeColor="text1"/>
          <w:sz w:val="32"/>
          <w:szCs w:val="32"/>
        </w:rPr>
      </w:pPr>
      <w:bookmarkStart w:id="14" w:name="_Toc429855131"/>
      <w:bookmarkStart w:id="15" w:name="_Toc430684125"/>
      <w:bookmarkStart w:id="16" w:name="_Toc430176616"/>
      <w:bookmarkStart w:id="17" w:name="_Toc430684126"/>
      <w:bookmarkStart w:id="18" w:name="_Toc430176617"/>
      <w:r>
        <w:rPr>
          <w:rFonts w:ascii="仿宋_GB2312" w:hAnsi="仿宋" w:eastAsia="仿宋_GB2312"/>
          <w:color w:val="000000" w:themeColor="text1"/>
          <w:sz w:val="32"/>
          <w:szCs w:val="32"/>
        </w:rPr>
        <w:t xml:space="preserve">第四章 </w:t>
      </w:r>
      <w:bookmarkEnd w:id="14"/>
      <w:r>
        <w:rPr>
          <w:rFonts w:ascii="仿宋_GB2312" w:hAnsi="仿宋" w:eastAsia="仿宋_GB2312"/>
          <w:color w:val="000000" w:themeColor="text1"/>
          <w:sz w:val="32"/>
          <w:szCs w:val="32"/>
        </w:rPr>
        <w:t>交易品种和交易方式</w:t>
      </w:r>
      <w:bookmarkEnd w:id="15"/>
      <w:bookmarkEnd w:id="16"/>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电力中长期交易现阶段主要开展电能量交易，根据市场发展需要开展输电权、容量等交易。</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根据交易标的物的不同，中长期电能量交易包括年度（多年）电量交易（以某个或多个年度的电量作为交易标的物，并分解到月）、月度电量交易（以某个月度的电量作为交易标的物）、月内（多日）电量交易（以月内剩余天数的电量或特定天数的电量作为交易标的物）等针对不同交割周期的电量交易。</w:t>
      </w:r>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电能量交易包括集中交易和双边协商交易两种方式。其中集中交易包括集中竞价交易、滚动撮合交易和挂牌交易三种形式。</w:t>
      </w:r>
    </w:p>
    <w:p>
      <w:pPr>
        <w:autoSpaceDE w:val="0"/>
        <w:autoSpaceDN w:val="0"/>
        <w:adjustRightInd w:val="0"/>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集中竞价交易指设置交易报价提交截止时间，电力交易平台汇总市场主体提交的交易申报信息，按市场规则进行统一的市场出清，发布市场出清结果。</w:t>
      </w:r>
    </w:p>
    <w:p>
      <w:pPr>
        <w:autoSpaceDE w:val="0"/>
        <w:autoSpaceDN w:val="0"/>
        <w:adjustRightInd w:val="0"/>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滚动撮合交易是指在规定的交易起止时间内，市场主体可以随时提交购电或售电信息，电力交易平台按时间优先、价格优先的原则进行滚动撮合成交。</w:t>
      </w:r>
    </w:p>
    <w:p>
      <w:pPr>
        <w:autoSpaceDE w:val="0"/>
        <w:autoSpaceDN w:val="0"/>
        <w:adjustRightInd w:val="0"/>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挂牌交易指市场主体通过电力交易平台，将需求电量或可供电量的数量和价格等信息对外发布要约，由符合资格要求的另一方提出接受该要约的申请。</w:t>
      </w:r>
    </w:p>
    <w:p>
      <w:pPr>
        <w:numPr>
          <w:ilvl w:val="0"/>
          <w:numId w:val="1"/>
        </w:numPr>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以双边协商和滚动撮合形式开展的电力中长期交易鼓励连续开市，以集中竞价交易形式开展的电力中长期交易应当实现定期开市。双边合同在双边交易截止时间前均可提交或修改。</w:t>
      </w:r>
    </w:p>
    <w:p>
      <w:pPr>
        <w:numPr>
          <w:ilvl w:val="0"/>
          <w:numId w:val="1"/>
        </w:numPr>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同一市场主体可根据自身电力生产或消费需要，购入或售出电能量。</w:t>
      </w:r>
    </w:p>
    <w:p>
      <w:pPr>
        <w:pStyle w:val="40"/>
        <w:autoSpaceDE w:val="0"/>
        <w:autoSpaceDN w:val="0"/>
        <w:adjustRightInd w:val="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为降低市场操纵风险，发电企业在单笔电力交易中的售电量不得超过其剩余最大发电能力，购电量不得超过其售出电能量的净值（指多次售出、购入相互抵消后的净售电量）。电力用户和售电公司在单笔电力交易中的售电量不得超过其购入电能量的净值（指多次购入、售出相互抵消后的净购电量）。</w:t>
      </w:r>
    </w:p>
    <w:p>
      <w:pPr>
        <w:pStyle w:val="40"/>
        <w:autoSpaceDE w:val="0"/>
        <w:autoSpaceDN w:val="0"/>
        <w:adjustRightInd w:val="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除电网安全约束外，不得限制发电企业在自身发电能力范围内的交易电量申报；发电权交易应当遵循购售双方的意愿，不得人为设置条件，原则上鼓励清洁、高效机组替代低效机组发电。</w:t>
      </w:r>
    </w:p>
    <w:p>
      <w:pPr>
        <w:pStyle w:val="40"/>
        <w:numPr>
          <w:ilvl w:val="0"/>
          <w:numId w:val="1"/>
        </w:numPr>
        <w:autoSpaceDE w:val="0"/>
        <w:autoSpaceDN w:val="0"/>
        <w:adjustRightInd w:val="0"/>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在优先安排优先发电合同输电容量的前提下，鼓励发电企业、电力用户、售电公司利用剩余输电容量直接进行跨区跨省交易。</w:t>
      </w:r>
    </w:p>
    <w:p>
      <w:pPr>
        <w:pStyle w:val="40"/>
        <w:autoSpaceDE w:val="0"/>
        <w:autoSpaceDN w:val="0"/>
        <w:adjustRightInd w:val="0"/>
        <w:spacing w:line="560" w:lineRule="exact"/>
        <w:ind w:left="85" w:firstLine="640" w:firstLineChars="200"/>
        <w:jc w:val="both"/>
        <w:rPr>
          <w:rFonts w:ascii="仿宋_GB2312" w:hAnsi="仿宋" w:eastAsia="仿宋_GB2312"/>
          <w:color w:val="000000" w:themeColor="text1"/>
          <w:sz w:val="32"/>
          <w:szCs w:val="32"/>
          <w:u w:val="thick"/>
        </w:rPr>
      </w:pPr>
      <w:r>
        <w:rPr>
          <w:rFonts w:hint="eastAsia" w:ascii="仿宋_GB2312" w:hAnsi="仿宋" w:eastAsia="仿宋_GB2312"/>
          <w:color w:val="000000" w:themeColor="text1"/>
          <w:sz w:val="32"/>
          <w:szCs w:val="32"/>
        </w:rPr>
        <w:t>跨区跨省交易可以在区域交易平台开展，也可以在相关省交易平台开展；点对网专线输电的发电机组（含网对网专线输电但明确配套发电机组的情况）视同为受电地区发电机组，纳入受电地区电力电量平衡，根据受电地区发电计划放开情况参与受电地区电力市场化。</w:t>
      </w:r>
    </w:p>
    <w:p>
      <w:pPr>
        <w:pStyle w:val="40"/>
        <w:numPr>
          <w:ilvl w:val="0"/>
          <w:numId w:val="1"/>
        </w:numPr>
        <w:autoSpaceDE w:val="0"/>
        <w:autoSpaceDN w:val="0"/>
        <w:adjustRightInd w:val="0"/>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对于未来电力供应存在短缺风险的地区，可探索建立容量市场，保障长期电力供应安全。对于燃煤机组利用小时严重偏低的省份，可建立容量补偿机制。</w:t>
      </w:r>
    </w:p>
    <w:bookmarkEnd w:id="17"/>
    <w:bookmarkEnd w:id="18"/>
    <w:p>
      <w:pPr>
        <w:pStyle w:val="2"/>
        <w:spacing w:before="120" w:after="120" w:line="240" w:lineRule="auto"/>
        <w:jc w:val="center"/>
        <w:rPr>
          <w:rFonts w:ascii="仿宋_GB2312" w:hAnsi="仿宋" w:eastAsia="仿宋_GB2312"/>
          <w:color w:val="000000" w:themeColor="text1"/>
          <w:sz w:val="32"/>
          <w:szCs w:val="32"/>
        </w:rPr>
      </w:pPr>
      <w:r>
        <w:rPr>
          <w:rFonts w:ascii="仿宋_GB2312" w:hAnsi="仿宋" w:eastAsia="仿宋_GB2312"/>
          <w:color w:val="000000" w:themeColor="text1"/>
          <w:sz w:val="32"/>
          <w:szCs w:val="32"/>
        </w:rPr>
        <w:t>第五章 价格机制</w:t>
      </w:r>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除计划电量执行政府确定的价格外，电力中长期交易的成交价格应当由市场主体通过双边协商、集中交易等市场化方式形成，第三方不得干预。</w:t>
      </w:r>
    </w:p>
    <w:p>
      <w:pPr>
        <w:pStyle w:val="40"/>
        <w:autoSpaceDE w:val="0"/>
        <w:autoSpaceDN w:val="0"/>
        <w:adjustRightInd w:val="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电能量市场化交易（含省内和跨区跨省）价格包括脱硫、脱硝、除尘和超低排放电价。</w:t>
      </w:r>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因电网安全约束必须开启的机组，约束上电量超出其合同电量（含优先发电合同、基数电量合同、市场交易合同）的部分，执行政府批复的价格水平或价格机制；政府未确定价格水平或价格机制时，采用市场化机制确定价格。</w:t>
      </w:r>
    </w:p>
    <w:p>
      <w:pPr>
        <w:pStyle w:val="4"/>
        <w:ind w:firstLine="64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新投产发电机组的调试电量按照调试电价政策进行结算。</w:t>
      </w:r>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市场用户的用电价格由电能量交易价格、输配电价格、政府性基金及附加、辅助服务费用等构成，促进市场化用户公平承担系统责任。输配电价格、政府性基金及附加按照国家有关规定执行。</w:t>
      </w:r>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集中交易价格机制具体由各地区市场规则确定。其中，集中竞价交易可采用边际出清或高低匹配等价格形成机制；滚动撮合交易可采用滚动报价、撮合成交的价格形成机制；挂牌交易采用一方挂牌、摘牌成交的价格形成机制。</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在送电侧开展的跨区跨省交易，受电地区落地价格由电能量交易价格（送电价格）、输电价格（费用）、线损电价构成。在受电侧开展的跨区跨省交易，送电地区上网电价为电能量交易价格（落地价格）扣除输电价格（费用）、线损电价后的价格。</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损电价在输电价格中已明确包含的，不再单独收取；未明确的，按政府价格主管部门核定的输电损耗率计算；政府价格主管部门未核定输电损耗率的，暂按该输电通道前三年输电损耗率的平均值计算并报国家发展改革委、国家能源局备案后执行。线损电费原则上由买方承担；经协商一致，也可由卖方或者买卖双方共同承担。</w:t>
      </w:r>
    </w:p>
    <w:p>
      <w:pPr>
        <w:pStyle w:val="40"/>
        <w:numPr>
          <w:ilvl w:val="0"/>
          <w:numId w:val="1"/>
        </w:numPr>
        <w:spacing w:line="560" w:lineRule="exact"/>
        <w:jc w:val="both"/>
        <w:rPr>
          <w:rFonts w:ascii="仿宋_GB2312" w:hAnsi="仿宋" w:eastAsia="仿宋_GB2312"/>
          <w:color w:val="000000" w:themeColor="text1"/>
          <w:sz w:val="32"/>
          <w:szCs w:val="20"/>
        </w:rPr>
      </w:pPr>
      <w:r>
        <w:rPr>
          <w:rFonts w:hint="eastAsia" w:ascii="仿宋_GB2312" w:hAnsi="仿宋" w:eastAsia="仿宋_GB2312"/>
          <w:color w:val="000000" w:themeColor="text1"/>
          <w:sz w:val="32"/>
          <w:szCs w:val="20"/>
        </w:rPr>
        <w:t>执行峰谷电价的用户，在参加市场化交易后应当继续执行峰谷电价。</w:t>
      </w:r>
    </w:p>
    <w:p>
      <w:pPr>
        <w:pStyle w:val="40"/>
        <w:numPr>
          <w:ilvl w:val="0"/>
          <w:numId w:val="1"/>
        </w:numPr>
        <w:spacing w:line="560" w:lineRule="exact"/>
        <w:ind w:left="0"/>
        <w:jc w:val="both"/>
        <w:rPr>
          <w:rFonts w:ascii="仿宋_GB2312" w:hAnsi="仿宋" w:eastAsia="仿宋_GB2312"/>
          <w:color w:val="000000" w:themeColor="text1"/>
          <w:sz w:val="32"/>
          <w:szCs w:val="20"/>
        </w:rPr>
      </w:pPr>
      <w:r>
        <w:rPr>
          <w:rFonts w:hint="eastAsia" w:ascii="仿宋_GB2312" w:hAnsi="仿宋" w:eastAsia="仿宋_GB2312"/>
          <w:color w:val="000000" w:themeColor="text1"/>
          <w:sz w:val="32"/>
          <w:szCs w:val="32"/>
        </w:rPr>
        <w:t>除国家有明确规定的情况外，双边协商交易原则上不进行限价。集中竞价交易中，为避免市场操纵及恶性竞争，可对报价或者出清价格设置上、下限。</w:t>
      </w:r>
    </w:p>
    <w:p>
      <w:pPr>
        <w:pStyle w:val="2"/>
        <w:spacing w:before="120" w:after="120" w:line="240" w:lineRule="auto"/>
        <w:jc w:val="center"/>
        <w:rPr>
          <w:rFonts w:ascii="仿宋_GB2312" w:hAnsi="仿宋" w:eastAsia="仿宋_GB2312"/>
          <w:b w:val="0"/>
          <w:color w:val="000000" w:themeColor="text1"/>
        </w:rPr>
      </w:pPr>
      <w:r>
        <w:rPr>
          <w:rFonts w:ascii="仿宋_GB2312" w:hAnsi="仿宋" w:eastAsia="仿宋_GB2312"/>
          <w:color w:val="000000" w:themeColor="text1"/>
          <w:sz w:val="32"/>
          <w:szCs w:val="32"/>
        </w:rPr>
        <w:t>第六章 交易组织</w:t>
      </w:r>
    </w:p>
    <w:p>
      <w:pPr>
        <w:pStyle w:val="3"/>
        <w:spacing w:before="120" w:after="120" w:line="240" w:lineRule="auto"/>
        <w:jc w:val="center"/>
        <w:rPr>
          <w:rFonts w:ascii="仿宋_GB2312" w:hAnsi="仿宋" w:eastAsia="仿宋_GB2312"/>
          <w:b w:val="0"/>
          <w:color w:val="000000" w:themeColor="text1"/>
        </w:rPr>
      </w:pPr>
      <w:r>
        <w:rPr>
          <w:rFonts w:ascii="仿宋_GB2312" w:hAnsi="仿宋" w:eastAsia="仿宋_GB2312"/>
          <w:b w:val="0"/>
          <w:color w:val="000000" w:themeColor="text1"/>
        </w:rPr>
        <w:t>第一节 总则</w:t>
      </w:r>
    </w:p>
    <w:p>
      <w:pPr>
        <w:numPr>
          <w:ilvl w:val="0"/>
          <w:numId w:val="1"/>
        </w:numPr>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政府部门应当在每年</w:t>
      </w:r>
      <w:r>
        <w:rPr>
          <w:rFonts w:ascii="仿宋_GB2312" w:hAnsi="仿宋" w:eastAsia="仿宋_GB2312"/>
          <w:color w:val="000000" w:themeColor="text1"/>
          <w:sz w:val="32"/>
          <w:szCs w:val="32"/>
        </w:rPr>
        <w:t>11月底之前确定并下达次年跨区跨省优先发电</w:t>
      </w:r>
      <w:r>
        <w:rPr>
          <w:rFonts w:hint="eastAsia" w:ascii="仿宋_GB2312" w:hAnsi="仿宋" w:eastAsia="仿宋_GB2312"/>
          <w:color w:val="000000" w:themeColor="text1"/>
          <w:sz w:val="32"/>
          <w:szCs w:val="32"/>
        </w:rPr>
        <w:t>计划、省内优先发计划和基数电量。各地按照年度（多年）、月度、月内（多日）的顺序开展电力交易。</w:t>
      </w:r>
    </w:p>
    <w:p>
      <w:pPr>
        <w:numPr>
          <w:ilvl w:val="0"/>
          <w:numId w:val="1"/>
        </w:numPr>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市场主体通过年度（多年）交易、月度交易和月内（多日）等交易满足发用电需求，促进供需平衡。</w:t>
      </w:r>
    </w:p>
    <w:p>
      <w:pPr>
        <w:numPr>
          <w:ilvl w:val="0"/>
          <w:numId w:val="1"/>
        </w:numPr>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对于定期开市和连续开市的交易，交易公告应当提前至少一个工作日发布；对不定期开市的交易，应当提前至少五个工作日发布。交易公告发布内容应当包括：</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（一）交易标的（含电力、电量和交易周期）、申报起止时间；</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（二）交易出清方式；</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（三）价格形成机制；</w:t>
      </w:r>
    </w:p>
    <w:p>
      <w:pPr>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（四）关键输电通道可用输电容量情况。</w:t>
      </w:r>
    </w:p>
    <w:p>
      <w:pPr>
        <w:numPr>
          <w:ilvl w:val="0"/>
          <w:numId w:val="1"/>
        </w:numPr>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交易的限定条件必须事前在交易公告中明确，原则上在申报组织及出清过程中不得临时增加限定条件，确有必要的应当公开说明原因。</w:t>
      </w:r>
    </w:p>
    <w:p>
      <w:pPr>
        <w:numPr>
          <w:ilvl w:val="0"/>
          <w:numId w:val="1"/>
        </w:numPr>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电力交易机构基于电力调度机构提供的安全约束条件开展电力交易出清。</w:t>
      </w:r>
    </w:p>
    <w:p>
      <w:pPr>
        <w:numPr>
          <w:ilvl w:val="0"/>
          <w:numId w:val="1"/>
        </w:numPr>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对于签订市场化交易合同的机组，分配基数电量时原则上不再进行容量剔除。</w:t>
      </w:r>
    </w:p>
    <w:p>
      <w:pPr>
        <w:numPr>
          <w:ilvl w:val="0"/>
          <w:numId w:val="1"/>
        </w:numPr>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各电力交易机构负责组织开展可再生能源电力相关交易，指导参与电力交易的承担消纳责任的市场主体优先完成可再生能源电力消纳相应的电力交易，在中长期电力交易合同审核、电力交易信息公布等环节对承担消纳责任的市场主体给予提醒。各承担消纳责任的市场主体参与电力市场交易时，应当向电力交易机构作出履行可再生能源电力消纳责任的承诺。</w:t>
      </w:r>
    </w:p>
    <w:p>
      <w:pPr>
        <w:pStyle w:val="3"/>
        <w:spacing w:before="120" w:after="120" w:line="240" w:lineRule="auto"/>
        <w:jc w:val="center"/>
        <w:rPr>
          <w:rFonts w:ascii="仿宋_GB2312" w:hAnsi="仿宋" w:eastAsia="仿宋_GB2312"/>
          <w:b w:val="0"/>
          <w:color w:val="000000" w:themeColor="text1"/>
        </w:rPr>
      </w:pPr>
      <w:bookmarkStart w:id="19" w:name="_Toc430684130"/>
      <w:bookmarkStart w:id="20" w:name="OLE_LINK13"/>
      <w:r>
        <w:rPr>
          <w:rFonts w:ascii="仿宋_GB2312" w:hAnsi="仿宋" w:eastAsia="仿宋_GB2312"/>
          <w:b w:val="0"/>
          <w:color w:val="000000" w:themeColor="text1"/>
        </w:rPr>
        <w:t>第二节 年度（多年）交易</w:t>
      </w:r>
      <w:bookmarkEnd w:id="19"/>
    </w:p>
    <w:bookmarkEnd w:id="20"/>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年度（多年）交易的标的物为次年（多年）的电量（或年度分时电量）。年度（多年）交易可通过双边协商或集中交易的方式开展。</w:t>
      </w:r>
    </w:p>
    <w:p>
      <w:pPr>
        <w:numPr>
          <w:ilvl w:val="0"/>
          <w:numId w:val="1"/>
        </w:numPr>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主体经过双边协商形成的年度（多年）意向协议，需要在年度双边交易申报截止前，通过电力交易平台提交至电力交易机构。电力交易机构根据电力调度机构提供的关键通道年度可用输电容量，形成双边交易预成交结果。</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采用集中交易方式开展年度（多年）交易时，发电企业、售电公司和电力用户在规定的报价时限内通过电力交易平台申报报价数据。电力交易机构根据电力调度机构提供的关键通道年度可用输电容量进行市场出清，形成集中交易预成交结果。</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年度交易结束后，电力交易机构汇总每类交易的预成交结果，并提交电力调度机构统一进行安全校核。电力调度机构在5个工作日内返回安全校核结果，由电力交易机构发布。安全校核越限时，由相关电力交易机构根据市场规则协同进行交易削减和调整。</w:t>
      </w:r>
    </w:p>
    <w:p>
      <w:pPr>
        <w:pStyle w:val="40"/>
        <w:numPr>
          <w:ilvl w:val="0"/>
          <w:numId w:val="1"/>
        </w:numPr>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市场主体对交易结果有异议的，应当在结果发布一个工作日内向电力交易机构提出，由电力交易机构会同电力调度机构在一个工作日内给予解释。逾期未提出异议的，电力交易平台自动确认成交。</w:t>
      </w:r>
    </w:p>
    <w:p>
      <w:pPr>
        <w:pStyle w:val="3"/>
        <w:spacing w:before="120" w:after="120" w:line="240" w:lineRule="auto"/>
        <w:jc w:val="center"/>
        <w:rPr>
          <w:rFonts w:ascii="仿宋_GB2312" w:hAnsi="仿宋" w:eastAsia="仿宋_GB2312"/>
          <w:b w:val="0"/>
          <w:color w:val="000000" w:themeColor="text1"/>
        </w:rPr>
      </w:pPr>
      <w:bookmarkStart w:id="21" w:name="_Toc430684132"/>
      <w:r>
        <w:rPr>
          <w:rFonts w:hint="eastAsia" w:ascii="仿宋_GB2312" w:hAnsi="仿宋" w:eastAsia="仿宋_GB2312"/>
          <w:b w:val="0"/>
          <w:color w:val="000000" w:themeColor="text1"/>
        </w:rPr>
        <w:t>第三节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月度交易</w:t>
      </w:r>
      <w:bookmarkEnd w:id="21"/>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月度交易的标的物为次月电量（或月度分时电量），条件具备的地区可组织开展针对年度内剩余月份的月度电量（或月度分时电量）交易。月度交易可通过双边协商或集中交易的方式开展。</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市场主体经过双边协商形成的意向协议，需要在月度双边交易申报截止前，通过电力交易平台提交至电力交易机构。电力交易机构根据电力调度机构提供的关键通道月度可用输电容量，形成双边交易预成交结果。</w:t>
      </w:r>
    </w:p>
    <w:p>
      <w:pPr>
        <w:pStyle w:val="40"/>
        <w:numPr>
          <w:ilvl w:val="0"/>
          <w:numId w:val="1"/>
        </w:numPr>
        <w:spacing w:line="560" w:lineRule="exact"/>
        <w:ind w:left="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采用集中交易方式开展月度交易时，发电企业、售电公司和电力用户在规定的报价时限内通过电力交易平台申报报价数据。电力交易机构根据电力调度机构提供的关键通道月度可用传输容量进行市场出清，形成集中交易预成交结果。</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月度交易结束后，电力交易机构汇总每类交易的预成交结果，并提交给电力调度机构统一进行安全校核。电力调度机构在2个工作日内返回安全校核结果，由电力交易机构发布。安全校核越限时由相关电力交易机构根据市场规则协同进行交易削减和调整。</w:t>
      </w:r>
    </w:p>
    <w:p>
      <w:pPr>
        <w:pStyle w:val="40"/>
        <w:numPr>
          <w:ilvl w:val="0"/>
          <w:numId w:val="1"/>
        </w:numPr>
        <w:spacing w:line="560" w:lineRule="exact"/>
        <w:jc w:val="both"/>
        <w:rPr>
          <w:rFonts w:ascii="仿宋_GB2312" w:hAnsi="仿宋" w:eastAsia="仿宋_GB2312"/>
          <w:color w:val="000000" w:themeColor="text1"/>
          <w:sz w:val="32"/>
          <w:szCs w:val="32"/>
        </w:rPr>
      </w:pPr>
      <w:bookmarkStart w:id="22" w:name="_Hlk18239870"/>
      <w:r>
        <w:rPr>
          <w:rFonts w:hint="eastAsia" w:ascii="仿宋_GB2312" w:hAnsi="仿宋" w:eastAsia="仿宋_GB2312"/>
          <w:color w:val="000000" w:themeColor="text1"/>
          <w:sz w:val="32"/>
          <w:szCs w:val="32"/>
        </w:rPr>
        <w:t>市场主体对交易结果有异议的，应当在结果发布一个工作日内向电力交易机构提出，由电力交易机构会同电力调度机构在一个工作日内给予解释</w:t>
      </w:r>
      <w:bookmarkEnd w:id="22"/>
      <w:r>
        <w:rPr>
          <w:rFonts w:hint="eastAsia" w:ascii="仿宋_GB2312" w:hAnsi="仿宋" w:eastAsia="仿宋_GB2312"/>
          <w:color w:val="000000" w:themeColor="text1"/>
          <w:sz w:val="32"/>
          <w:szCs w:val="32"/>
        </w:rPr>
        <w:t>。逾期未提出异议的，电力交易平台自动确认成交。</w:t>
      </w:r>
    </w:p>
    <w:p>
      <w:pPr>
        <w:pStyle w:val="40"/>
        <w:numPr>
          <w:ilvl w:val="0"/>
          <w:numId w:val="1"/>
        </w:numPr>
        <w:spacing w:line="560" w:lineRule="exact"/>
        <w:ind w:firstLine="64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电力交易机构应当根据经安全校核后的交易结果，对年度交易分月结果和月度交易结果进行汇总，于每月月底前发布汇总后的交易结果。</w:t>
      </w:r>
    </w:p>
    <w:p>
      <w:pPr>
        <w:pStyle w:val="3"/>
        <w:spacing w:before="120" w:after="120" w:line="240" w:lineRule="auto"/>
        <w:jc w:val="center"/>
        <w:rPr>
          <w:rFonts w:ascii="仿宋_GB2312" w:hAnsi="仿宋" w:eastAsia="仿宋_GB2312"/>
          <w:b w:val="0"/>
          <w:color w:val="000000" w:themeColor="text1"/>
        </w:rPr>
      </w:pPr>
      <w:r>
        <w:rPr>
          <w:rFonts w:ascii="仿宋_GB2312" w:hAnsi="仿宋" w:eastAsia="仿宋_GB2312"/>
          <w:b w:val="0"/>
          <w:color w:val="000000" w:themeColor="text1"/>
        </w:rPr>
        <w:t>第四节 月内（多日）交易</w:t>
      </w:r>
    </w:p>
    <w:p>
      <w:pPr>
        <w:numPr>
          <w:ilvl w:val="0"/>
          <w:numId w:val="1"/>
        </w:numPr>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月内（多日）交易的标的物为月内剩余天数或特定天数的电量（或分时电量）。月内交易主要以集中交易方式开展。根据交易标的物的不同，月内交易可定期开市或连续开市。</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月内集中交易中，发电企业、售电公司和电力用户在规定的报价时限内通过电力交易平台申报报价数据。电力交易机构根据电力调度机构提供的关键通道月内可用输电容量进行市场出清，形成集中交易预成交结果。</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将月内集中交易的预成交结果提交给电力调度机构进行安全校核。电力调度机构应当在1个工作日之内返回安全校核结果，由电力交易机构发布。市场主体对交易结果有异议的，应当在结果发布一个工作日内向电力交易机构提出，由电力交易机构会同电力调度机构在一个工作日内给予解释。</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月内集中交易结束后，电力交易机构应当根据经安全校核后的交易结果，对分月交易计划进行调整、更新和发布。</w:t>
      </w:r>
    </w:p>
    <w:p>
      <w:pPr>
        <w:pStyle w:val="3"/>
        <w:spacing w:before="120" w:after="120" w:line="240" w:lineRule="auto"/>
        <w:jc w:val="center"/>
        <w:rPr>
          <w:rFonts w:ascii="仿宋_GB2312" w:hAnsi="仿宋" w:eastAsia="仿宋_GB2312"/>
          <w:b w:val="0"/>
          <w:color w:val="000000" w:themeColor="text1"/>
        </w:rPr>
      </w:pPr>
      <w:r>
        <w:rPr>
          <w:rFonts w:ascii="仿宋_GB2312" w:hAnsi="仿宋" w:eastAsia="仿宋_GB2312"/>
          <w:b w:val="0"/>
          <w:color w:val="000000" w:themeColor="text1"/>
        </w:rPr>
        <w:t>第五节 偏差电量处理机制</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允许发用双方在协商一致的前提下，对尚未执行的双边合同在合同执行前一周进行动态调整。鼓励市场主体通过月内（多日）交易实现月度发用电计划调整，减少合同执行偏差。</w:t>
      </w:r>
    </w:p>
    <w:p>
      <w:pPr>
        <w:pStyle w:val="40"/>
        <w:numPr>
          <w:ilvl w:val="0"/>
          <w:numId w:val="1"/>
        </w:numPr>
        <w:spacing w:line="560" w:lineRule="exact"/>
        <w:jc w:val="both"/>
        <w:rPr>
          <w:rFonts w:ascii="仿宋_GB2312" w:hAnsi="仿宋" w:eastAsia="仿宋_GB2312"/>
          <w:color w:val="000000" w:themeColor="text1"/>
          <w:sz w:val="32"/>
          <w:szCs w:val="32"/>
        </w:rPr>
      </w:pPr>
      <w:bookmarkStart w:id="23" w:name="_Hlk24698229"/>
      <w:r>
        <w:rPr>
          <w:rFonts w:hint="eastAsia" w:ascii="仿宋_GB2312" w:hAnsi="仿宋" w:eastAsia="仿宋_GB2312"/>
          <w:color w:val="000000" w:themeColor="text1"/>
          <w:sz w:val="32"/>
          <w:szCs w:val="32"/>
        </w:rPr>
        <w:t>系统月度实际用电需求与月度发电计划存在偏差时</w:t>
      </w:r>
      <w:r>
        <w:rPr>
          <w:rFonts w:ascii="仿宋_GB2312" w:hAnsi="仿宋" w:eastAsia="仿宋_GB2312"/>
          <w:color w:val="000000" w:themeColor="text1"/>
          <w:sz w:val="32"/>
          <w:szCs w:val="32"/>
        </w:rPr>
        <w:t>,</w:t>
      </w:r>
      <w:r>
        <w:rPr>
          <w:rFonts w:hint="eastAsia" w:ascii="仿宋_GB2312" w:hAnsi="仿宋" w:eastAsia="仿宋_GB2312"/>
          <w:color w:val="000000" w:themeColor="text1"/>
          <w:sz w:val="32"/>
          <w:szCs w:val="32"/>
        </w:rPr>
        <w:t>可通过发电侧上下调预挂牌机制进行处理，也</w:t>
      </w:r>
      <w:bookmarkEnd w:id="23"/>
      <w:bookmarkStart w:id="24" w:name="_Hlk24698239"/>
      <w:r>
        <w:rPr>
          <w:rFonts w:hint="eastAsia" w:ascii="仿宋_GB2312" w:hAnsi="仿宋" w:eastAsia="仿宋_GB2312"/>
          <w:color w:val="000000" w:themeColor="text1"/>
          <w:sz w:val="32"/>
          <w:szCs w:val="32"/>
        </w:rPr>
        <w:t>可根据各地实际采用偏差电量次月挂牌、合同电量滚动调整等偏差处理机制。</w:t>
      </w:r>
    </w:p>
    <w:bookmarkEnd w:id="24"/>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发电侧上下调预挂牌机制采用“报价、不报量”方式，具有调节能力的机组均应参与上下调报价。发电侧上下调预挂牌机制可采用如下组织方式：</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（一）月度交易结束后，发电机组申报上调报价（单位增发电量的售电价格）和下调报价（单位减发电量的购电价格）。允许发电机组在规定的月内截止日期前，修改其上调和下调报价。</w:t>
      </w:r>
    </w:p>
    <w:p>
      <w:pPr>
        <w:pStyle w:val="4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（二）电力交易机构按上调报价由低到高排序形成上调机组调用排序列表，按下调报价由高到低排序形成下调机组调用排序列表。价格相同时按发电侧节能低碳电力调度的优先级进行排序。</w:t>
      </w:r>
    </w:p>
    <w:p>
      <w:pPr>
        <w:pStyle w:val="4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三）月度最后七个自然日，根据电力电量平衡预测，各类合同电量的分解执行无法满足省内供需平衡时，电力调度机构参考上下调机组排序，在满足电网安全约束的前提下，预先安排机组提供上调或下调电量、调整相应机组后续发电计划，实现供需平衡。机组提供的上调或下调电量根据电力调度机构的实际调用量进行结算。</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偏差电量次月挂牌机制可采用如下组织方式：</w:t>
      </w:r>
    </w:p>
    <w:p>
      <w:pPr>
        <w:pStyle w:val="4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电力调度机构在保证电网安全运行的前提下，根据全网机组运行负荷率确定预挂牌机组负荷率上限和下限，并在月初公布。各机组上调、下调电量的限额按照负荷率上下限对应发电量与机组当月计划发电量的差额确定。</w:t>
      </w:r>
    </w:p>
    <w:p>
      <w:pPr>
        <w:pStyle w:val="4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二）在满足电网安全约束的前提下，将上月全网实际完成电量与全网计划发电量的差额，按照各机组上月申报的预挂牌价格（上调申报增发价格、下调申报补偿价格）排序确定机组上调、下调电量，作为月度调整电量累加至机组本月计划发电量。其中，下调电量按照机组月度集中交易电量、月度双边交易电量、年度分月双边交易电量、计划电量的顺序扣减相应合同电量。</w:t>
      </w:r>
    </w:p>
    <w:p>
      <w:pPr>
        <w:pStyle w:val="4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（三）月度发电计划执行完毕后，发电侧首先结算机组上调电量或下调电量</w:t>
      </w:r>
      <w:r>
        <w:rPr>
          <w:rFonts w:ascii="仿宋_GB2312" w:hAnsi="仿宋" w:eastAsia="仿宋_GB2312"/>
          <w:color w:val="000000" w:themeColor="text1"/>
          <w:sz w:val="32"/>
          <w:szCs w:val="32"/>
        </w:rPr>
        <w:t>,</w:t>
      </w:r>
      <w:r>
        <w:rPr>
          <w:rFonts w:ascii="仿宋_GB2312" w:eastAsia="仿宋_GB2312"/>
          <w:color w:val="000000" w:themeColor="text1"/>
        </w:rPr>
        <w:t xml:space="preserve"> </w:t>
      </w:r>
      <w:r>
        <w:rPr>
          <w:rFonts w:hint="eastAsia" w:ascii="仿宋_GB2312" w:hAnsi="仿宋" w:eastAsia="仿宋_GB2312"/>
          <w:color w:val="000000" w:themeColor="text1"/>
          <w:sz w:val="32"/>
          <w:szCs w:val="32"/>
        </w:rPr>
        <w:t>其余电量按照各类合同电量结算顺序及对应电价结算；用户侧按当月实际用电量和合同电量加权价结算电费，实际用电量与合同电量的偏差予以考核。</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合同电量滚动调整机制可采用发电侧合同电量按月滚动调整，用户侧合同电量月结月清或按月滚动调整。</w:t>
      </w:r>
    </w:p>
    <w:p>
      <w:pPr>
        <w:pStyle w:val="2"/>
        <w:spacing w:before="120" w:after="120" w:line="240" w:lineRule="auto"/>
        <w:jc w:val="center"/>
        <w:rPr>
          <w:rFonts w:ascii="仿宋_GB2312" w:hAnsi="仿宋" w:eastAsia="仿宋_GB2312"/>
          <w:color w:val="000000" w:themeColor="text1"/>
          <w:sz w:val="32"/>
          <w:szCs w:val="32"/>
        </w:rPr>
      </w:pPr>
      <w:r>
        <w:rPr>
          <w:rFonts w:ascii="仿宋_GB2312" w:hAnsi="仿宋" w:eastAsia="仿宋_GB2312"/>
          <w:color w:val="000000" w:themeColor="text1"/>
          <w:sz w:val="32"/>
          <w:szCs w:val="32"/>
        </w:rPr>
        <w:t>第七章 安全校核</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各类交易必须通过电力调度机构安全校核。涉及跨区跨省的交易，须提交相关电力调度机构共同进行安全校核，各级电力调度机构均有为各电力交易机构提供电力交易（涉及本电力调度机构调度范围的）安全校核服务的责任。安全校核的主要内容包括：通道输电能力限制、机组发电能力限制、机组辅助服务限制等内容。</w:t>
      </w:r>
    </w:p>
    <w:p>
      <w:pPr>
        <w:pStyle w:val="40"/>
        <w:numPr>
          <w:ilvl w:val="0"/>
          <w:numId w:val="1"/>
        </w:numPr>
        <w:spacing w:line="560" w:lineRule="exact"/>
        <w:jc w:val="both"/>
        <w:rPr>
          <w:rFonts w:ascii="仿宋_GB2312" w:hAnsi="仿宋" w:eastAsia="仿宋_GB2312"/>
          <w:color w:val="FF0000"/>
          <w:sz w:val="32"/>
          <w:szCs w:val="32"/>
        </w:rPr>
      </w:pPr>
      <w:r>
        <w:rPr>
          <w:rFonts w:hint="eastAsia" w:ascii="仿宋_GB2312" w:hAnsi="仿宋" w:eastAsia="仿宋_GB2312"/>
          <w:color w:val="000000" w:themeColor="text1"/>
          <w:sz w:val="32"/>
          <w:szCs w:val="32"/>
        </w:rPr>
        <w:t>电力调度机构应及时向电力交易机构提供或更新各断面（设备）、各路径可用输电容量，以及交易在不同断面、路径上的分布系数，并通过交易平台发布必开机组组合和发电量需求，影响断面（设备）限额变化的停电检修等。</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电力交易机构以各断面、各路径可用输电容量等为约束，对集中交易进行出清，并与同期组织的双边交易一并提交电力调度机构进行安全校核。</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为保障系统整体的备用和调频调峰能力，在各类市场化交易开始前，电力调度机构可以根据机组可调出力、检修天数、系统负荷曲线以及电网约束情况，折算得出各机组的电量上限，对参与市场化交易的机组发电利用小时数提出限制建议，并及时提供关键通道可用输电容量、关键设备检修计划等电网运行相关信息，由电力交易机构予以公布。</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其中，对于年度交易，应当在年度电力电量预测平衡的基础上，结合检修计划，按照不低于关键通道可用输电容量的80%下达交易限额。</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对于月度交易，应当在月度电力电量预测平衡的基础上，结合检修计划和发电设备利用率，按照不低于关键通道可用输电容量的90%下达交易限额；发电设备利用率应结合调峰调频需求制定，并向市场主体公开设备利用率。</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对于月度内的交易，参考月度交易的限额制定方法，按照不低于关键通道可用输电容量的95%下达交易限额。</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安全校核未通过时，由电力交易机构进行交易削减。对于双边交易，可按时间优先、等比例等原则进行削减；对于集中交易，可按价格优先原则进行削减，价格相同时按发电侧节能低碳电力调度的优先级进行削减。</w:t>
      </w:r>
    </w:p>
    <w:p>
      <w:pPr>
        <w:pStyle w:val="40"/>
        <w:spacing w:line="560" w:lineRule="exact"/>
        <w:ind w:left="85"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执行过程中，电力调度机构因电网安全和清洁能源消纳原因调整中长期交易计划后，应当详细记录原因并向市场主体说明。</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安全校核应当在规定的期限内完成。安全校核未通过时，电力调度机构需出具书面解释，由电力交易机构予以公布。</w:t>
      </w:r>
    </w:p>
    <w:p>
      <w:pPr>
        <w:pStyle w:val="2"/>
        <w:spacing w:before="120" w:after="120" w:line="240" w:lineRule="auto"/>
        <w:jc w:val="center"/>
        <w:rPr>
          <w:rFonts w:ascii="仿宋_GB2312" w:hAnsi="仿宋" w:eastAsia="仿宋_GB2312"/>
          <w:color w:val="000000" w:themeColor="text1"/>
          <w:sz w:val="32"/>
          <w:szCs w:val="32"/>
        </w:rPr>
      </w:pPr>
      <w:r>
        <w:rPr>
          <w:rFonts w:ascii="仿宋_GB2312" w:hAnsi="仿宋" w:eastAsia="仿宋_GB2312"/>
          <w:color w:val="000000" w:themeColor="text1"/>
          <w:sz w:val="32"/>
          <w:szCs w:val="32"/>
        </w:rPr>
        <w:t>第八章 合同签订与执行</w:t>
      </w:r>
    </w:p>
    <w:p>
      <w:pPr>
        <w:pStyle w:val="3"/>
        <w:spacing w:before="120" w:after="120" w:line="240" w:lineRule="auto"/>
        <w:jc w:val="center"/>
        <w:rPr>
          <w:rFonts w:ascii="仿宋_GB2312" w:hAnsi="仿宋" w:eastAsia="仿宋_GB2312"/>
          <w:b w:val="0"/>
          <w:color w:val="000000" w:themeColor="text1"/>
        </w:rPr>
      </w:pPr>
      <w:r>
        <w:rPr>
          <w:rFonts w:hint="eastAsia" w:ascii="仿宋_GB2312" w:hAnsi="仿宋" w:eastAsia="仿宋_GB2312"/>
          <w:b w:val="0"/>
          <w:color w:val="000000" w:themeColor="text1"/>
        </w:rPr>
        <w:t>第一节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合同签订</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各市场成员应当根据交易结果或政府下达的计划电量，参照合同示范文本签订购售电合同，并在规定时间内提交至电力交易机构。购售电合同中应当明确购电方、售电方、输电方、电量（电力）、电价、执行周期、结算方式、偏差电量计量、违约处罚、资金往来信息等内容。</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购售电合同原则上应采用电子合同签订，电力交易平台应当满足国家电子合同有关规定的技术要求，市场成员应当依法使用可靠的电子签名，电子合同与纸质合同具备同等效力。</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在电力交易平台提交、确认的双边协商交易以及参与集中交易产生的结果，各相关市场成员可将电力交易机构出具的电子交易确认单（视同为电子合同）作为执行依据。</w:t>
      </w:r>
    </w:p>
    <w:p>
      <w:pPr>
        <w:pStyle w:val="3"/>
        <w:spacing w:before="120" w:after="120" w:line="240" w:lineRule="auto"/>
        <w:jc w:val="center"/>
        <w:rPr>
          <w:rFonts w:ascii="仿宋_GB2312" w:hAnsi="仿宋" w:eastAsia="仿宋_GB2312"/>
          <w:b w:val="0"/>
          <w:color w:val="000000" w:themeColor="text1"/>
        </w:rPr>
      </w:pPr>
      <w:bookmarkStart w:id="25" w:name="OLE_LINK32"/>
      <w:r>
        <w:rPr>
          <w:rFonts w:ascii="仿宋_GB2312" w:hAnsi="仿宋" w:eastAsia="仿宋_GB2312"/>
          <w:b w:val="0"/>
          <w:color w:val="000000" w:themeColor="text1"/>
        </w:rPr>
        <w:t xml:space="preserve">第二节 </w:t>
      </w:r>
      <w:bookmarkEnd w:id="25"/>
      <w:r>
        <w:rPr>
          <w:rFonts w:hint="eastAsia" w:ascii="仿宋_GB2312" w:hAnsi="仿宋" w:eastAsia="仿宋_GB2312"/>
          <w:b w:val="0"/>
          <w:color w:val="000000" w:themeColor="text1"/>
        </w:rPr>
        <w:t>优先发电合同</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跨区跨省的政府间协议原则上在上一年度的</w:t>
      </w:r>
      <w:r>
        <w:rPr>
          <w:rFonts w:ascii="仿宋_GB2312" w:hAnsi="仿宋" w:eastAsia="仿宋_GB2312"/>
          <w:color w:val="000000" w:themeColor="text1"/>
          <w:sz w:val="32"/>
          <w:szCs w:val="32"/>
        </w:rPr>
        <w:t>11月</w:t>
      </w:r>
      <w:r>
        <w:rPr>
          <w:rFonts w:hint="eastAsia" w:ascii="仿宋_GB2312" w:hAnsi="仿宋" w:eastAsia="仿宋_GB2312"/>
          <w:color w:val="000000" w:themeColor="text1"/>
          <w:sz w:val="32"/>
          <w:szCs w:val="32"/>
        </w:rPr>
        <w:t>底前预测和下达总体电力电量规模和分月计划，由购售双方签订相应的购售电合同。合同需约定年度电量规模及分月计划、送受电曲线或确定曲线的原则、交易价格等，纳入送、受电省优先发电计划，并优先安排输电通道。年度电量规模及分月计划可根据实际执行情况，由购售双方协商调整。</w:t>
      </w:r>
    </w:p>
    <w:p>
      <w:pPr>
        <w:pStyle w:val="40"/>
        <w:numPr>
          <w:ilvl w:val="0"/>
          <w:numId w:val="1"/>
        </w:numPr>
        <w:spacing w:line="560" w:lineRule="exact"/>
        <w:ind w:left="0" w:firstLine="709"/>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对于省内优先发电计划，各地区结合电网安全、供需形势、电源结构等因素，科学安排本地优先发电电量，不得将上述电量安排在指定时段内集中执行，也不得将上述电量作为调节市场自由竞争的手段。</w:t>
      </w:r>
    </w:p>
    <w:p>
      <w:pPr>
        <w:pStyle w:val="40"/>
        <w:numPr>
          <w:ilvl w:val="0"/>
          <w:numId w:val="1"/>
        </w:numPr>
        <w:spacing w:line="560" w:lineRule="exact"/>
        <w:ind w:left="0" w:firstLine="709"/>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各地区确定的省内优先发电电量，原则上在每年年度双边交易开始前，对执行政府定价的电量签订厂网间年度购售电合同，约定年度电量规模及分月计划、交易价格等。</w:t>
      </w:r>
    </w:p>
    <w:p>
      <w:pPr>
        <w:pStyle w:val="40"/>
        <w:spacing w:line="560" w:lineRule="exact"/>
        <w:ind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年度交易开始前仍未确定优先发电的，可参考历史情况测算，预留优先发电空间，确保市场交易正常开展。</w:t>
      </w:r>
    </w:p>
    <w:p>
      <w:pPr>
        <w:pStyle w:val="40"/>
        <w:numPr>
          <w:ilvl w:val="0"/>
          <w:numId w:val="1"/>
        </w:numPr>
        <w:spacing w:line="560" w:lineRule="exact"/>
        <w:ind w:left="0" w:firstLine="709"/>
        <w:jc w:val="both"/>
        <w:rPr>
          <w:rFonts w:ascii="仿宋_GB2312" w:hAnsi="仿宋" w:eastAsia="仿宋_GB2312"/>
          <w:color w:val="000000" w:themeColor="text1"/>
        </w:rPr>
      </w:pPr>
      <w:r>
        <w:rPr>
          <w:rFonts w:hint="eastAsia" w:ascii="仿宋_GB2312" w:hAnsi="仿宋" w:eastAsia="仿宋_GB2312"/>
          <w:color w:val="000000" w:themeColor="text1"/>
          <w:sz w:val="32"/>
          <w:szCs w:val="32"/>
        </w:rPr>
        <w:t>各地区根据非市场用户年度用电预测情况，扣除各环节优先发电电量后，作为年度基数电量在燃煤（气）等发电企业中进行分配。</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优先发电电量和基数电量的分月计划可在月度执行前进行调整和确认，分月计划经合同签订主体确认后，其执行偏差可通过预挂牌上下调机制（或其他偏差处理机制）处理。</w:t>
      </w:r>
    </w:p>
    <w:p>
      <w:pPr>
        <w:pStyle w:val="3"/>
        <w:spacing w:before="120" w:after="120" w:line="240" w:lineRule="auto"/>
        <w:jc w:val="center"/>
        <w:rPr>
          <w:rFonts w:ascii="仿宋_GB2312" w:hAnsi="仿宋" w:eastAsia="仿宋_GB2312"/>
          <w:b w:val="0"/>
          <w:bCs w:val="0"/>
          <w:color w:val="000000" w:themeColor="text1"/>
          <w:kern w:val="2"/>
        </w:rPr>
      </w:pPr>
      <w:r>
        <w:rPr>
          <w:rFonts w:hint="eastAsia" w:ascii="仿宋_GB2312" w:hAnsi="仿宋" w:eastAsia="仿宋_GB2312"/>
          <w:b w:val="0"/>
          <w:color w:val="000000" w:themeColor="text1"/>
        </w:rPr>
        <w:t>第三节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合同执行</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各省电力交易机构应当汇总省内市场成员参与的各类交易合同（含优先发电合同、基数电量合同、市场交易合同），形成省内发电企业的月度发电计划，并依据月内（多日）交易，进行更新和调整</w:t>
      </w:r>
      <w:r>
        <w:rPr>
          <w:rFonts w:hint="eastAsia" w:ascii="仿宋_GB2312" w:hAnsi="仿宋" w:eastAsia="仿宋_GB2312" w:cs="仿宋"/>
          <w:bCs/>
          <w:color w:val="000000" w:themeColor="text1"/>
          <w:sz w:val="32"/>
          <w:szCs w:val="32"/>
        </w:rPr>
        <w:t>。</w:t>
      </w:r>
      <w:r>
        <w:rPr>
          <w:rFonts w:hint="eastAsia" w:ascii="仿宋_GB2312" w:hAnsi="仿宋" w:eastAsia="仿宋_GB2312"/>
          <w:color w:val="000000" w:themeColor="text1"/>
          <w:sz w:val="32"/>
          <w:szCs w:val="32"/>
        </w:rPr>
        <w:t>电力调度机构应当根据经安全校核后的月度（含调整后的）发电计划及清洁能源消纳需求，合理安排电网运行方式和机组开机方式。相关电力交易机构汇总跨区跨省交易合同，形成跨区跨省发电企业的月度发电计划，并依据月内（多日）交易，进行更新和调整</w:t>
      </w:r>
      <w:r>
        <w:rPr>
          <w:rFonts w:hint="eastAsia" w:ascii="仿宋_GB2312" w:hAnsi="仿宋" w:eastAsia="仿宋_GB2312" w:cs="仿宋"/>
          <w:bCs/>
          <w:color w:val="000000" w:themeColor="text1"/>
          <w:sz w:val="32"/>
          <w:szCs w:val="32"/>
        </w:rPr>
        <w:t>。</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年度合同的执行周期内，次月度交易开始前，在购售双方一致同意且不影响其他市场主体交易合同执行的基础上，允许通过电力交易平台调整后续各个月的合同分月计划（合同总量不变），调整后的分月计划需通过电力调度机构安全校核。</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电力交易机构定期跟踪和公布月度（含多日交易调整后的）发电计划完成进度情况。市场主体对发电计划完成进度提出异议时，电力调度机构负责出具说明，电力交易机构负责公布相关信息。</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全部合同约定交易曲线的，按合同约定曲线形成次日发电计划；部分合同约定交易曲线的，由电力调度机构根据系统运行需要，安排无交易曲线部分的发电曲线，与约定交易曲线的市场化交易合同共同形成次日发电计划。</w:t>
      </w:r>
    </w:p>
    <w:p>
      <w:pPr>
        <w:pStyle w:val="40"/>
        <w:numPr>
          <w:ilvl w:val="0"/>
          <w:numId w:val="1"/>
        </w:numPr>
        <w:tabs>
          <w:tab w:val="left" w:pos="720"/>
        </w:tabs>
        <w:spacing w:line="560" w:lineRule="exact"/>
        <w:ind w:left="0" w:firstLine="640" w:firstLineChars="20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电力系统发生紧急情况时，电力调度机构可基于安全优先的原则实施调度，并于事后向国家能源局派出监管机构、地方政府电力管理部门报告事件经过，并向市场主体进行相关信息披露。</w:t>
      </w:r>
    </w:p>
    <w:p>
      <w:pPr>
        <w:pStyle w:val="2"/>
        <w:spacing w:before="120" w:after="120" w:line="240" w:lineRule="auto"/>
        <w:jc w:val="center"/>
        <w:rPr>
          <w:rFonts w:ascii="仿宋_GB2312" w:hAnsi="仿宋" w:eastAsia="仿宋_GB2312"/>
          <w:color w:val="000000" w:themeColor="text1"/>
          <w:sz w:val="32"/>
          <w:szCs w:val="32"/>
        </w:rPr>
      </w:pPr>
      <w:bookmarkStart w:id="26" w:name="_Toc429855138"/>
      <w:bookmarkStart w:id="27" w:name="_Toc430684136"/>
      <w:bookmarkStart w:id="28" w:name="_Toc430176625"/>
      <w:r>
        <w:rPr>
          <w:rFonts w:ascii="仿宋_GB2312" w:hAnsi="仿宋" w:eastAsia="仿宋_GB2312"/>
          <w:color w:val="000000" w:themeColor="text1"/>
          <w:sz w:val="32"/>
          <w:szCs w:val="32"/>
        </w:rPr>
        <w:t>第九章 计量和结算</w:t>
      </w:r>
      <w:bookmarkEnd w:id="26"/>
      <w:bookmarkEnd w:id="27"/>
      <w:bookmarkEnd w:id="28"/>
    </w:p>
    <w:p>
      <w:pPr>
        <w:pStyle w:val="3"/>
        <w:spacing w:before="120" w:after="120" w:line="240" w:lineRule="auto"/>
        <w:jc w:val="center"/>
        <w:rPr>
          <w:rFonts w:ascii="仿宋_GB2312" w:hAnsi="仿宋" w:eastAsia="仿宋_GB2312"/>
          <w:b w:val="0"/>
          <w:color w:val="000000" w:themeColor="text1"/>
        </w:rPr>
      </w:pPr>
      <w:bookmarkStart w:id="29" w:name="_Toc476684723"/>
      <w:bookmarkStart w:id="30" w:name="_Toc476694321"/>
      <w:bookmarkStart w:id="31" w:name="_Toc476684280"/>
      <w:r>
        <w:rPr>
          <w:rFonts w:hint="eastAsia" w:ascii="仿宋_GB2312" w:hAnsi="仿宋" w:eastAsia="仿宋_GB2312"/>
          <w:b w:val="0"/>
          <w:color w:val="000000" w:themeColor="text1"/>
        </w:rPr>
        <w:t>第一节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计量</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电网企业应当根据市场运行需要为市场主体安装符合技术规范的计量装置；计量装置原则上安装在产权分界点，产权分界点无法安装计量装置的，考虑相应的变（线）损。电网企业应当在跨区跨省输电线路两端安装符合技术规范的计量装置，跨区跨省交易均应明确其结算对应计量点。</w:t>
      </w:r>
    </w:p>
    <w:p>
      <w:pPr>
        <w:pStyle w:val="40"/>
        <w:numPr>
          <w:ilvl w:val="0"/>
          <w:numId w:val="1"/>
        </w:numPr>
        <w:spacing w:line="560" w:lineRule="exact"/>
        <w:jc w:val="both"/>
        <w:rPr>
          <w:rFonts w:ascii="仿宋_GB2312" w:hAnsi="仿宋" w:eastAsia="仿宋_GB2312"/>
          <w:color w:val="000000" w:themeColor="text1"/>
          <w:sz w:val="32"/>
          <w:szCs w:val="32"/>
        </w:rPr>
      </w:pPr>
      <w:r>
        <w:rPr>
          <w:rFonts w:ascii="仿宋_GB2312" w:hAnsi="仿宋" w:eastAsia="仿宋_GB2312"/>
          <w:color w:val="000000" w:themeColor="text1"/>
        </w:rPr>
        <w:t xml:space="preserve"> </w:t>
      </w:r>
      <w:r>
        <w:rPr>
          <w:rFonts w:hint="eastAsia" w:ascii="仿宋_GB2312" w:hAnsi="仿宋" w:eastAsia="仿宋_GB2312"/>
          <w:color w:val="000000" w:themeColor="text1"/>
          <w:sz w:val="32"/>
          <w:szCs w:val="32"/>
        </w:rPr>
        <w:t>计量周期和抄表时间应当保证最小交易周期的结算需要，保证计量数据准确、完整。</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发电企业、跨区跨省交易送受端计量点应当安装相同型号、相同规格、相同精度的主、副电能表各一套，主、副表应当有明确标志，以主表计量数据作为结算依据，副表计量数据作为参照，当确认主表故障后，副表计量数据替代主表计量数据作为电量结算依据。</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 xml:space="preserve"> 发电企业内多台发电机组共用计量点且无法拆分，各发电机组需分别结算时，按照每台机组的实际发电量等比例拆分共用计量点的上网电量。对于风电、光伏发电企业处于相同运行状态的不同项目批次共用计量点的机组，可按照额定容量比例分摊上网电量。</w:t>
      </w:r>
    </w:p>
    <w:p>
      <w:pPr>
        <w:pStyle w:val="40"/>
        <w:spacing w:line="560" w:lineRule="exact"/>
        <w:ind w:firstLine="640" w:firstLineChars="200"/>
        <w:jc w:val="both"/>
        <w:rPr>
          <w:rFonts w:ascii="仿宋_GB2312" w:hAnsi="仿宋" w:eastAsia="仿宋_GB2312"/>
          <w:color w:val="000000" w:themeColor="text1"/>
        </w:rPr>
      </w:pPr>
      <w:r>
        <w:rPr>
          <w:rFonts w:hint="eastAsia" w:ascii="仿宋_GB2312" w:hAnsi="仿宋" w:eastAsia="仿宋_GB2312"/>
          <w:color w:val="000000" w:themeColor="text1"/>
          <w:sz w:val="32"/>
          <w:szCs w:val="32"/>
        </w:rPr>
        <w:t>处于调试期的机组，如果和其他机组共用计量点，则按照机组调试期的发电量等比例拆分共用计量点的上网电量，确定调试期的上网电量。</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网企业应当按照电力市场结算要求定期抄录发电企业（机组）和电力用户电能计量装置数据，并将计算后的结算电量提交电力交易机构。对计量数据存在疑义时，由具有相应资质的电能计量检测机构确认并出具报告，结算电量由电网企业组织相关市场成员协商解决。</w:t>
      </w:r>
    </w:p>
    <w:p>
      <w:pPr>
        <w:pStyle w:val="3"/>
        <w:spacing w:before="120" w:after="120" w:line="240" w:lineRule="auto"/>
        <w:jc w:val="center"/>
        <w:rPr>
          <w:rFonts w:ascii="仿宋_GB2312" w:hAnsi="仿宋" w:eastAsia="仿宋_GB2312"/>
          <w:b w:val="0"/>
          <w:color w:val="000000" w:themeColor="text1"/>
        </w:rPr>
      </w:pPr>
      <w:r>
        <w:rPr>
          <w:rFonts w:hint="eastAsia" w:ascii="仿宋_GB2312" w:hAnsi="仿宋" w:eastAsia="仿宋_GB2312"/>
          <w:b w:val="0"/>
          <w:color w:val="000000" w:themeColor="text1"/>
        </w:rPr>
        <w:t>第二节</w:t>
      </w:r>
      <w:r>
        <w:rPr>
          <w:rFonts w:ascii="仿宋_GB2312" w:hAnsi="仿宋" w:eastAsia="仿宋_GB2312"/>
          <w:b w:val="0"/>
          <w:color w:val="000000" w:themeColor="text1"/>
        </w:rPr>
        <w:t xml:space="preserve"> </w:t>
      </w:r>
      <w:r>
        <w:rPr>
          <w:rFonts w:hint="eastAsia" w:ascii="仿宋_GB2312" w:hAnsi="仿宋" w:eastAsia="仿宋_GB2312"/>
          <w:b w:val="0"/>
          <w:color w:val="000000" w:themeColor="text1"/>
        </w:rPr>
        <w:t>结算</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电力交易机构负责向市场成员出具结算依据，市场成员根据相关规则进行电费结算。其中，跨区跨省交易由组织该交易的电力交易机构会同送受端电力交易机构向市场成员出具结算依据。</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电网企业（含地方电网和增量配电网）之间结算的输配电费用，按照政府价格主管部门核定的输配电价和实际物理计量电量结算。</w:t>
      </w:r>
    </w:p>
    <w:p>
      <w:pPr>
        <w:pStyle w:val="40"/>
        <w:numPr>
          <w:ilvl w:val="0"/>
          <w:numId w:val="1"/>
        </w:numPr>
        <w:spacing w:line="560" w:lineRule="exact"/>
        <w:jc w:val="both"/>
        <w:rPr>
          <w:rFonts w:ascii="仿宋_GB2312" w:hAnsi="仿宋" w:eastAsia="仿宋_GB2312"/>
          <w:color w:val="000000" w:themeColor="text1"/>
          <w:sz w:val="32"/>
          <w:szCs w:val="32"/>
        </w:rPr>
      </w:pPr>
      <w:r>
        <w:rPr>
          <w:rFonts w:ascii="仿宋_GB2312" w:hAnsi="仿宋" w:eastAsia="仿宋_GB2312"/>
          <w:color w:val="000000" w:themeColor="text1"/>
          <w:sz w:val="32"/>
          <w:szCs w:val="32"/>
        </w:rPr>
        <w:t xml:space="preserve"> </w:t>
      </w:r>
      <w:r>
        <w:rPr>
          <w:rFonts w:hint="eastAsia" w:ascii="仿宋_GB2312" w:hAnsi="仿宋" w:eastAsia="仿宋_GB2312"/>
          <w:color w:val="000000" w:themeColor="text1"/>
          <w:sz w:val="32"/>
          <w:szCs w:val="32"/>
        </w:rPr>
        <w:t>发电企业上网电量电费由电网企业支付；电力用户仍向电网企业缴纳电费，并由电网企业承担电力用户侧欠费风险；售电公司按照电力交易机构出具的结算依据与电网企业进行电费结算。</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电力用户的基本电价、政府性基金及附加、峰谷分时电价、功率因数调整等按照电压等级和类别按实收取，上述费用均由电网企业根据国家及省有关规定进行结算。</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电力交易机构向各市场成员提供的结算依据包括以下内容：</w:t>
      </w:r>
    </w:p>
    <w:p>
      <w:pPr>
        <w:pStyle w:val="35"/>
        <w:widowControl w:val="0"/>
        <w:spacing w:after="0" w:line="620" w:lineRule="exact"/>
        <w:ind w:firstLine="64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（一）实际结算电量；</w:t>
      </w:r>
    </w:p>
    <w:p>
      <w:pPr>
        <w:pStyle w:val="35"/>
        <w:widowControl w:val="0"/>
        <w:spacing w:after="0" w:line="620" w:lineRule="exact"/>
        <w:ind w:firstLine="64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（二）各类交易合同（含优先发电合同、基数电量合同、市场交易合同）电量、电价和电费；</w:t>
      </w:r>
    </w:p>
    <w:p>
      <w:pPr>
        <w:pStyle w:val="35"/>
        <w:widowControl w:val="0"/>
        <w:spacing w:after="0" w:line="620" w:lineRule="exact"/>
        <w:ind w:firstLine="64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（三）上下调电量、电价和电费；偏差电量、电价和电费；分摊的结算资金差额或盈余等信息；</w:t>
      </w:r>
    </w:p>
    <w:p>
      <w:pPr>
        <w:pStyle w:val="35"/>
        <w:widowControl w:val="0"/>
        <w:spacing w:after="0" w:line="620" w:lineRule="exact"/>
        <w:ind w:firstLine="64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（四）新机组调试电量、电价、电费；</w:t>
      </w:r>
    </w:p>
    <w:p>
      <w:pPr>
        <w:pStyle w:val="35"/>
        <w:spacing w:line="620" w:lineRule="exact"/>
        <w:ind w:firstLine="64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（五）接受售电公司委托出具的零售交易结算依据。</w:t>
      </w:r>
    </w:p>
    <w:p>
      <w:pPr>
        <w:pStyle w:val="35"/>
        <w:widowControl w:val="0"/>
        <w:numPr>
          <w:ilvl w:val="0"/>
          <w:numId w:val="1"/>
        </w:numPr>
        <w:spacing w:after="0" w:line="620" w:lineRule="exact"/>
        <w:ind w:left="0" w:firstLine="64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市场主体因偏差电量引起的电费资金，暂由电网企业收取和支付，并应在电费结算依据中单项列示。</w:t>
      </w:r>
    </w:p>
    <w:p>
      <w:pPr>
        <w:pStyle w:val="40"/>
        <w:numPr>
          <w:ilvl w:val="0"/>
          <w:numId w:val="1"/>
        </w:numPr>
        <w:spacing w:line="560" w:lineRule="exact"/>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市场主体的合同电量和偏差电量分开结算。以年度交易和月度交易为主的地区，按月清算、结账；开展多（日）交易的地区，按多（日）交易规则清算，按月结账。</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采用发电侧预挂牌上下调偏差处理机制的地区，偏差电量电费结算可采用如下方法：</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（一）批发交易用户（包括电力大用户、售电公司）偏差电量分为超用电量和少用电量，超用电量支付购电费用，少用电量获得售电收入。</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批发交易用户偏差电量=用户实际网供电量-（各类交易合同购入电量-各类交易合同售出电量）</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超用电量的结算价格=发电侧上调服务电量的加权平均价×U1。U1为用户侧超用电量惩罚系数，U1≥1。当月系统未调用上调服务时，以月度集中竞价交易最高成交价（或统一出清价）乘以惩罚系数结算超用电量。</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少用电量的结算价格=发电侧下调服务电量的加权平均价×U2。U2为用户侧少用电量惩罚系数，U2≤1。当月系统未调用下调服务时，以月度集中竞价交易最低成交价（或统一出清价）乘以惩罚系数结算少用电量。</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根据超用电量或少用电量的区间范围，可设置分段的惩罚系数。</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当售电公司所有签约用户月度实际总用量偏离售电公司月度交易计划时，售电公司承担偏差电量电费。</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（二）发电企业偏差电量指发电企业因自身原因（如设备故障、燃料不足等）引起的超发或少发电量。发电企业的偏差电量分为超发电量和少发电量，超发电量获得售电费用，少发电量支付购电费用。</w:t>
      </w:r>
    </w:p>
    <w:p>
      <w:pPr>
        <w:autoSpaceDE w:val="0"/>
        <w:autoSpaceDN w:val="0"/>
        <w:adjustRightInd w:val="0"/>
        <w:ind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超发电量结算价格=发电侧下调服务电量的加权平均价×K1。K1为发电侧超发电量惩罚系数，K1≤1。当月系统未调用下调服务时，以月度集中竞价交易最低成交价（或统一出清价）乘以惩罚系数结算超发电量。</w:t>
      </w:r>
    </w:p>
    <w:p>
      <w:pPr>
        <w:autoSpaceDE w:val="0"/>
        <w:autoSpaceDN w:val="0"/>
        <w:adjustRightInd w:val="0"/>
        <w:ind w:left="85"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少发电量结算价格=发电侧上调服务电量的加权平均价×K2。K2为发电侧少发电量惩罚系数，K2≥1。当月系统未调用上调服务时，以月度集中竞价交易最高成交价（或统一出清价）乘以惩罚系数结算少发电量。</w:t>
      </w:r>
    </w:p>
    <w:p>
      <w:pPr>
        <w:autoSpaceDE w:val="0"/>
        <w:autoSpaceDN w:val="0"/>
        <w:adjustRightInd w:val="0"/>
        <w:ind w:left="85" w:firstLine="640" w:firstLineChars="200"/>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根据超发电量或少发电量的区间范围，可设置分段的惩罚系数。</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 xml:space="preserve"> </w:t>
      </w:r>
      <w:r>
        <w:rPr>
          <w:rFonts w:hint="eastAsia" w:ascii="仿宋_GB2312" w:hAnsi="仿宋" w:eastAsia="仿宋_GB2312" w:cs="仿宋_GB2312"/>
          <w:color w:val="000000" w:themeColor="text1"/>
          <w:sz w:val="32"/>
          <w:szCs w:val="32"/>
        </w:rPr>
        <w:t>电力用户拥有储能，或者电力用户参加特定时段的需求侧响应，由此产生的偏差电量，由电力用户自行承担。</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 xml:space="preserve"> </w:t>
      </w:r>
      <w:r>
        <w:rPr>
          <w:rFonts w:hint="eastAsia" w:ascii="仿宋_GB2312" w:hAnsi="仿宋" w:eastAsia="仿宋_GB2312" w:cs="仿宋_GB2312"/>
          <w:color w:val="000000" w:themeColor="text1"/>
          <w:sz w:val="32"/>
          <w:szCs w:val="32"/>
        </w:rPr>
        <w:t>经营配网业务的售电公司，与省级电网企业进行电费结算，并按照政府价格主管部门的相关规定，向省级电网企业支付输电费用。</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 xml:space="preserve"> </w:t>
      </w:r>
      <w:r>
        <w:rPr>
          <w:rFonts w:hint="eastAsia" w:ascii="仿宋_GB2312" w:hAnsi="仿宋" w:eastAsia="仿宋_GB2312" w:cs="仿宋_GB2312"/>
          <w:color w:val="000000" w:themeColor="text1"/>
          <w:sz w:val="32"/>
          <w:szCs w:val="32"/>
        </w:rPr>
        <w:t>电力调度机构应当对结算周期内发电企业的偏差电量进行记录，包括偏差原因、起止时间、偏差电量等。在发电企业实际上网电量基础上，扣除各类合同电量、偏差电量后，视为发电企业的上下调电量。</w:t>
      </w:r>
    </w:p>
    <w:p>
      <w:pPr>
        <w:pStyle w:val="40"/>
        <w:spacing w:line="560" w:lineRule="exact"/>
        <w:ind w:left="85" w:firstLine="640" w:firstLineChars="2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发电企业的上下调电量，按其申报价格结算。</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ascii="仿宋_GB2312" w:hAnsi="仿宋" w:eastAsia="仿宋_GB2312" w:cs="仿宋_GB2312"/>
          <w:color w:val="000000" w:themeColor="text1"/>
          <w:sz w:val="32"/>
          <w:szCs w:val="32"/>
        </w:rPr>
        <w:t xml:space="preserve"> </w:t>
      </w:r>
      <w:r>
        <w:rPr>
          <w:rFonts w:hint="eastAsia" w:ascii="仿宋_GB2312" w:hAnsi="仿宋" w:eastAsia="仿宋_GB2312" w:cs="仿宋_GB2312"/>
          <w:color w:val="000000" w:themeColor="text1"/>
          <w:sz w:val="32"/>
          <w:szCs w:val="32"/>
        </w:rPr>
        <w:t>风电、光伏发电企业的电费结算：</w:t>
      </w:r>
    </w:p>
    <w:p>
      <w:pPr>
        <w:pStyle w:val="40"/>
        <w:spacing w:line="560" w:lineRule="exact"/>
        <w:ind w:left="85" w:firstLine="320" w:firstLineChars="1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 xml:space="preserve">  （一）未核定最低保障收购年利用小时数的地区，按当月实际上网电量及政府批复的价格水平或价格机制进行结算。</w:t>
      </w:r>
    </w:p>
    <w:p>
      <w:pPr>
        <w:pStyle w:val="40"/>
        <w:spacing w:line="560" w:lineRule="exact"/>
        <w:ind w:left="85" w:firstLine="640" w:firstLineChars="200"/>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（二）核定最低保障收购年利用小时数的地区，最低保障收购年利用小时数内的电量按政府批复的价格水平或价格机制进行结算。超出最低保障收购年利用小时数的部分应当通过市场交易方式消纳和结算。</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非市场用户月度实际用电量与电网企业月度购电量（含年分月电量，扣除系统网损电量）存在偏差时，由为非市场用户供电的电网企业代为结算偏差电量费用，由此造成的电网企业购电成本损益单独记账，按当月上网电量占比分摊或返还给所有机组，月结月清。</w:t>
      </w:r>
    </w:p>
    <w:p>
      <w:pPr>
        <w:pStyle w:val="40"/>
        <w:numPr>
          <w:ilvl w:val="0"/>
          <w:numId w:val="1"/>
        </w:numPr>
        <w:spacing w:line="560" w:lineRule="exact"/>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电力用户侧（包括批发交易电力用户、售电公司、非市场用户）的偏差电量费用与发电侧的上下调费用、偏差电量费用等之间的差额，按当月上网电量或用网电量占比分摊或返还给所有市场主体，月结月清。</w:t>
      </w:r>
    </w:p>
    <w:p>
      <w:pPr>
        <w:pStyle w:val="2"/>
        <w:spacing w:before="120" w:after="120" w:line="240" w:lineRule="auto"/>
        <w:jc w:val="center"/>
        <w:rPr>
          <w:rFonts w:ascii="仿宋_GB2312" w:hAnsi="仿宋" w:eastAsia="仿宋_GB2312"/>
          <w:color w:val="000000" w:themeColor="text1"/>
          <w:sz w:val="32"/>
          <w:szCs w:val="32"/>
        </w:rPr>
      </w:pPr>
      <w:r>
        <w:rPr>
          <w:rFonts w:ascii="仿宋_GB2312" w:hAnsi="仿宋" w:eastAsia="仿宋_GB2312"/>
          <w:color w:val="000000" w:themeColor="text1"/>
          <w:sz w:val="32"/>
          <w:szCs w:val="32"/>
        </w:rPr>
        <w:t>第十章 信息</w:t>
      </w:r>
      <w:r>
        <w:rPr>
          <w:rFonts w:hint="eastAsia" w:ascii="仿宋_GB2312" w:hAnsi="仿宋" w:eastAsia="仿宋_GB2312"/>
          <w:color w:val="000000" w:themeColor="text1"/>
          <w:sz w:val="32"/>
          <w:szCs w:val="32"/>
          <w:lang w:val="en-US" w:eastAsia="zh-CN"/>
        </w:rPr>
        <w:t>披</w:t>
      </w:r>
      <w:r>
        <w:rPr>
          <w:rFonts w:ascii="仿宋_GB2312" w:hAnsi="仿宋" w:eastAsia="仿宋_GB2312"/>
          <w:color w:val="000000" w:themeColor="text1"/>
          <w:sz w:val="32"/>
          <w:szCs w:val="32"/>
        </w:rPr>
        <w:t>露</w:t>
      </w:r>
    </w:p>
    <w:bookmarkEnd w:id="29"/>
    <w:bookmarkEnd w:id="30"/>
    <w:bookmarkEnd w:id="31"/>
    <w:p>
      <w:pPr>
        <w:pStyle w:val="40"/>
        <w:numPr>
          <w:ilvl w:val="0"/>
          <w:numId w:val="1"/>
        </w:numPr>
        <w:tabs>
          <w:tab w:val="left" w:pos="720"/>
        </w:tabs>
        <w:ind w:firstLine="640"/>
        <w:jc w:val="both"/>
        <w:rPr>
          <w:rFonts w:ascii="仿宋_GB2312" w:hAnsi="仿宋" w:eastAsia="仿宋_GB2312"/>
          <w:color w:val="000000" w:themeColor="text1"/>
          <w:sz w:val="32"/>
        </w:rPr>
      </w:pPr>
      <w:bookmarkStart w:id="32" w:name="#go41"/>
      <w:bookmarkStart w:id="33" w:name="#go40"/>
      <w:r>
        <w:rPr>
          <w:rFonts w:hint="eastAsia" w:ascii="仿宋_GB2312" w:hAnsi="仿宋" w:eastAsia="仿宋_GB2312"/>
          <w:color w:val="000000" w:themeColor="text1"/>
          <w:sz w:val="32"/>
        </w:rPr>
        <w:t>市场信息分为社会公众信息、市场公开信息和私有信息。社会公众信息是指向社会公众披露的信息；市场公开信息是指向所有市场主体披露的信息；私有信息是指向特定的市场主体披露的信息。</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社会公众信息包括但不限于：</w:t>
      </w:r>
    </w:p>
    <w:p>
      <w:pPr>
        <w:pStyle w:val="40"/>
        <w:numPr>
          <w:ilvl w:val="0"/>
          <w:numId w:val="3"/>
        </w:numPr>
        <w:tabs>
          <w:tab w:val="left" w:pos="1429"/>
        </w:tabs>
        <w:spacing w:line="560" w:lineRule="exact"/>
        <w:ind w:firstLine="640"/>
        <w:jc w:val="both"/>
        <w:rPr>
          <w:rFonts w:ascii="仿宋_GB2312" w:hAnsi="仿宋" w:eastAsia="仿宋_GB2312"/>
          <w:color w:val="000000" w:themeColor="text1"/>
          <w:sz w:val="32"/>
        </w:rPr>
      </w:pPr>
      <w:r>
        <w:rPr>
          <w:rFonts w:hint="eastAsia" w:ascii="仿宋_GB2312" w:hAnsi="仿宋" w:eastAsia="仿宋_GB2312"/>
          <w:color w:val="000000" w:themeColor="text1"/>
          <w:sz w:val="32"/>
        </w:rPr>
        <w:t>电力交易适用的法律、法规，电力交易业务流程、管理办法及相关政策文件等；</w:t>
      </w:r>
    </w:p>
    <w:p>
      <w:pPr>
        <w:pStyle w:val="40"/>
        <w:numPr>
          <w:ilvl w:val="0"/>
          <w:numId w:val="3"/>
        </w:numPr>
        <w:tabs>
          <w:tab w:val="left" w:pos="1429"/>
        </w:tabs>
        <w:spacing w:line="560" w:lineRule="exact"/>
        <w:ind w:firstLine="64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国家批准的发电侧上网电价、销售目录电价、输配电价、各类政府性基金及附加、系统备用费及其他电力交易相关收费标准等；</w:t>
      </w:r>
    </w:p>
    <w:p>
      <w:pPr>
        <w:pStyle w:val="40"/>
        <w:numPr>
          <w:ilvl w:val="0"/>
          <w:numId w:val="3"/>
        </w:numPr>
        <w:tabs>
          <w:tab w:val="left" w:pos="1429"/>
        </w:tabs>
        <w:spacing w:line="560" w:lineRule="exact"/>
        <w:ind w:firstLine="640"/>
        <w:jc w:val="both"/>
        <w:rPr>
          <w:rFonts w:ascii="仿宋_GB2312" w:hAnsi="仿宋" w:eastAsia="仿宋_GB2312"/>
          <w:color w:val="000000" w:themeColor="text1"/>
          <w:sz w:val="32"/>
        </w:rPr>
      </w:pPr>
      <w:r>
        <w:rPr>
          <w:rFonts w:hint="eastAsia" w:ascii="仿宋_GB2312" w:hAnsi="仿宋" w:eastAsia="仿宋_GB2312"/>
          <w:color w:val="000000" w:themeColor="text1"/>
          <w:sz w:val="32"/>
        </w:rPr>
        <w:t>电力市场运行基本情况，包括各类市场主体注册情况，电力交易总体成交电量、价格情况等；</w:t>
      </w:r>
    </w:p>
    <w:p>
      <w:pPr>
        <w:pStyle w:val="40"/>
        <w:numPr>
          <w:ilvl w:val="0"/>
          <w:numId w:val="3"/>
        </w:numPr>
        <w:tabs>
          <w:tab w:val="left" w:pos="1429"/>
        </w:tabs>
        <w:spacing w:line="560" w:lineRule="exact"/>
        <w:ind w:firstLine="640"/>
        <w:jc w:val="both"/>
        <w:rPr>
          <w:rFonts w:ascii="仿宋_GB2312" w:hAnsi="仿宋" w:eastAsia="仿宋_GB2312"/>
          <w:color w:val="000000" w:themeColor="text1"/>
          <w:sz w:val="32"/>
        </w:rPr>
      </w:pPr>
      <w:r>
        <w:rPr>
          <w:rFonts w:hint="eastAsia" w:ascii="仿宋_GB2312" w:hAnsi="仿宋" w:eastAsia="仿宋_GB2312"/>
          <w:color w:val="000000" w:themeColor="text1"/>
          <w:sz w:val="32"/>
        </w:rPr>
        <w:t>电网运行基本情况，包括电网主要网络通道的示意图、各类型发电机组装机总体情况，发用电负荷总体情况等；</w:t>
      </w:r>
    </w:p>
    <w:p>
      <w:pPr>
        <w:pStyle w:val="40"/>
        <w:numPr>
          <w:ilvl w:val="0"/>
          <w:numId w:val="3"/>
        </w:numPr>
        <w:tabs>
          <w:tab w:val="left" w:pos="1429"/>
        </w:tabs>
        <w:spacing w:line="560" w:lineRule="exact"/>
        <w:ind w:firstLine="640"/>
        <w:jc w:val="both"/>
        <w:rPr>
          <w:rFonts w:ascii="仿宋_GB2312" w:hAnsi="仿宋" w:eastAsia="仿宋_GB2312"/>
          <w:color w:val="000000" w:themeColor="text1"/>
          <w:sz w:val="32"/>
        </w:rPr>
      </w:pPr>
      <w:r>
        <w:rPr>
          <w:rFonts w:hint="eastAsia" w:ascii="仿宋_GB2312" w:hAnsi="仿宋" w:eastAsia="仿宋_GB2312"/>
          <w:color w:val="000000" w:themeColor="text1"/>
          <w:sz w:val="32"/>
        </w:rPr>
        <w:t>其他政策法规要求向社会公众公开的信息。</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市场公开信息包括但不限于：</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（一）市场主体基本信息，市场主体注册准入以及退出情况，包括企业名称、统一社会信用代码、联系方式、信用评价信息等；</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（二）发电设备信息，包括发电企业的类型、所属集团、装机容量、检修停运情况，项目投产（退役）计划、投产（退役）情况等；</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三）电网运行信息，电网安全运行的主要约束条件、电网重要运行方式的变化情况，电网各断面（设备）、各路径可用输电容量，必开必停机组组合和发电量需求，以及导致断面（设备）限额变化的停电检修等；</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（四）市场交易类信息，包括年、季、月电力电量平衡预测分析情况，非市场化电量规模及交易总电量安排、计划分解，各种交易的总成交电量和成交均价，安全校核结果及原因等；</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（五）交易执行信息，包括交易计划执行总体情况，计划执行调整及原因，市场干预情况等；</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（六）结算类信息，包括合同结算总体完成情况，差额资金每月的盈亏和分摊情况；</w:t>
      </w:r>
    </w:p>
    <w:p>
      <w:pPr>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（七）其他政策法规要求对市场主体公开的信息。</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市场私有信息主要包括：</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（一）发电机组的机组特性参数、性能指标，电力用户用电特性参数和指标；</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（二）各市场主体的市场化交易申报电量、申报电价等交易申报信息；</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（三）各市场主体的各类市场化交易的成交电量及成交价格等信息；</w:t>
      </w:r>
    </w:p>
    <w:p>
      <w:pPr>
        <w:spacing w:line="560" w:lineRule="exact"/>
        <w:ind w:firstLine="640" w:firstLineChars="200"/>
        <w:rPr>
          <w:rFonts w:ascii="仿宋_GB2312" w:hAnsi="仿宋" w:eastAsia="仿宋_GB2312"/>
          <w:color w:val="000000" w:themeColor="text1"/>
          <w:sz w:val="32"/>
        </w:rPr>
      </w:pPr>
      <w:r>
        <w:rPr>
          <w:rFonts w:hint="eastAsia" w:ascii="仿宋_GB2312" w:hAnsi="仿宋" w:eastAsia="仿宋_GB2312"/>
          <w:color w:val="000000" w:themeColor="text1"/>
          <w:sz w:val="32"/>
        </w:rPr>
        <w:t>（四）各市场主体的市场化交易合同以及结算明细信息。</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市场成员应当遵循及时、准确、完整的原则披露电力市场信息，对其披露信息的真实性负责。违者可依法依规纳入失信管理，严重者可按照规定取消市场准入资格。</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电力交易机构、电力调度机构应当公平对待市场主体，无歧视披露社会公众信息和市场公开信息。市场成员严禁超职责范围获取私有信息，不得泄露影响公平竞争和涉及用户隐私的相关信息。</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电力交易机构负责市场信息的管理和发布，会同电力调度机构按照市场信息分类及时向社会及市场主体、政府有关部门发布相关信息。市场主体、电力调度机构应当及时向电力交易机构提供支撑市场化交易开展所需的数据和信息。</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在确保安全的基础上，市场信息主要通过电力市场技术支持系统、电力交易机构网站进行披露。电力交易机构负责电力市场技术支持系统、电力交易机构网站的建设、管理和维护，并为其他市场主体通过技术支持系统、电力交易机构网站披露信息提供便利。电力市场技术支持系统、电力交易机构网站安全等级应当满足国家信息安全三级等级防护要求。</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市场主体如对披露的相关信息有异议或疑问，可向电力交易机构、电力调度机构提出，由电力交易机构、电力调度机构负责解释。</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国家能源局派出监管机构、地方政府电力管理部门根据各地实际制定电力市场信息披露管理办法并监督实施。</w:t>
      </w:r>
    </w:p>
    <w:p>
      <w:pPr>
        <w:pStyle w:val="2"/>
        <w:spacing w:before="120" w:after="120" w:line="240" w:lineRule="auto"/>
        <w:jc w:val="center"/>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第十一章</w:t>
      </w:r>
      <w:r>
        <w:rPr>
          <w:rFonts w:ascii="仿宋_GB2312" w:hAnsi="仿宋" w:eastAsia="仿宋_GB2312"/>
          <w:color w:val="000000" w:themeColor="text1"/>
          <w:sz w:val="32"/>
          <w:szCs w:val="32"/>
        </w:rPr>
        <w:t xml:space="preserve"> </w:t>
      </w:r>
      <w:r>
        <w:rPr>
          <w:rFonts w:hint="eastAsia" w:ascii="仿宋_GB2312" w:hAnsi="仿宋" w:eastAsia="仿宋_GB2312"/>
          <w:color w:val="000000" w:themeColor="text1"/>
          <w:sz w:val="32"/>
          <w:szCs w:val="32"/>
        </w:rPr>
        <w:t>市场监测和风险防控</w:t>
      </w:r>
    </w:p>
    <w:p>
      <w:pPr>
        <w:pStyle w:val="40"/>
        <w:numPr>
          <w:ilvl w:val="0"/>
          <w:numId w:val="1"/>
        </w:numPr>
        <w:tabs>
          <w:tab w:val="left" w:pos="720"/>
        </w:tabs>
        <w:jc w:val="both"/>
        <w:rPr>
          <w:rFonts w:ascii="仿宋_GB2312" w:hAnsi="仿宋" w:eastAsia="仿宋_GB2312"/>
          <w:color w:val="000000" w:themeColor="text1"/>
          <w:sz w:val="32"/>
        </w:rPr>
      </w:pPr>
      <w:r>
        <w:rPr>
          <w:rFonts w:hint="eastAsia" w:ascii="仿宋_GB2312" w:hAnsi="仿宋" w:eastAsia="仿宋_GB2312"/>
          <w:color w:val="000000" w:themeColor="text1"/>
          <w:sz w:val="32"/>
        </w:rPr>
        <w:t>国家能源局及其派出监管机构应当建立健全交易机构专业化监管制度，推动成立独立的电力交易机构专家委员会，积极发展第三方专</w:t>
      </w:r>
      <w:bookmarkStart w:id="38" w:name="_GoBack"/>
      <w:bookmarkEnd w:id="38"/>
      <w:r>
        <w:rPr>
          <w:rFonts w:hint="eastAsia" w:ascii="仿宋_GB2312" w:hAnsi="仿宋" w:eastAsia="仿宋_GB2312"/>
          <w:color w:val="000000" w:themeColor="text1"/>
          <w:sz w:val="32"/>
        </w:rPr>
        <w:t>业机构，形成政府监管与外部专业化监督密切配合的有效监管体系。</w:t>
      </w:r>
    </w:p>
    <w:p>
      <w:pPr>
        <w:pStyle w:val="40"/>
        <w:numPr>
          <w:ilvl w:val="0"/>
          <w:numId w:val="1"/>
        </w:numPr>
        <w:tabs>
          <w:tab w:val="left" w:pos="720"/>
        </w:tabs>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电力交易机构、电力调度机构根据有关规定，履行市场运营、市场监控和风险防控等职责。根据国家能源局及其派出监管机构的监管要求，将相关信息系统接入电力监管信息系统，按照“谁运营、谁防范，谁运营、谁监控”的原则，采取有效风险防控措施，加强对市场运营情况的监控分析，按照有关规定定期向国家能源局及其派出监管机构、地方政府电力管理部门提交市场监控分析报告。</w:t>
      </w:r>
    </w:p>
    <w:p>
      <w:pPr>
        <w:pStyle w:val="40"/>
        <w:numPr>
          <w:ilvl w:val="0"/>
          <w:numId w:val="1"/>
        </w:numPr>
        <w:tabs>
          <w:tab w:val="left" w:pos="720"/>
        </w:tabs>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当出现以下情况时，电力交易机构、电力调度机构可依法依规采取市场干预措施：</w:t>
      </w:r>
    </w:p>
    <w:p>
      <w:pPr>
        <w:pStyle w:val="40"/>
        <w:numPr>
          <w:ilvl w:val="0"/>
          <w:numId w:val="4"/>
        </w:numPr>
        <w:spacing w:line="560" w:lineRule="exact"/>
        <w:ind w:firstLine="640" w:firstLineChars="200"/>
        <w:jc w:val="both"/>
        <w:textAlignment w:val="baseline"/>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电力系统内发生重大事故危及电网安全；</w:t>
      </w:r>
    </w:p>
    <w:p>
      <w:pPr>
        <w:pStyle w:val="40"/>
        <w:spacing w:line="560" w:lineRule="exact"/>
        <w:ind w:firstLine="640" w:firstLineChars="200"/>
        <w:jc w:val="both"/>
        <w:textAlignment w:val="baseline"/>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（二）发生恶意串通操纵市场的行为，并严重影响交易结果的；</w:t>
      </w:r>
    </w:p>
    <w:p>
      <w:pPr>
        <w:ind w:firstLine="640" w:firstLineChars="200"/>
        <w:textAlignment w:val="baseline"/>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（三）市场技术支持系统发生重大故障，导致交易无法正常进行的；</w:t>
      </w:r>
    </w:p>
    <w:p>
      <w:pPr>
        <w:pStyle w:val="40"/>
        <w:spacing w:line="560" w:lineRule="exact"/>
        <w:ind w:left="640"/>
        <w:jc w:val="both"/>
        <w:textAlignment w:val="baseline"/>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（四）因不可抗力市场化交易不能正常开展的；</w:t>
      </w:r>
    </w:p>
    <w:p>
      <w:pPr>
        <w:ind w:firstLine="640" w:firstLineChars="200"/>
        <w:textAlignment w:val="baseline"/>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（五）国家能源局及其派出监管机构作出暂停市场交易决定的；</w:t>
      </w:r>
    </w:p>
    <w:p>
      <w:pPr>
        <w:pStyle w:val="40"/>
        <w:spacing w:line="560" w:lineRule="exact"/>
        <w:ind w:firstLine="640" w:firstLineChars="200"/>
        <w:jc w:val="both"/>
        <w:textAlignment w:val="baseline"/>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（六）市场发生其他严重异常情况的。</w:t>
      </w:r>
    </w:p>
    <w:p>
      <w:pPr>
        <w:pStyle w:val="40"/>
        <w:numPr>
          <w:ilvl w:val="0"/>
          <w:numId w:val="1"/>
        </w:numPr>
        <w:tabs>
          <w:tab w:val="left" w:pos="720"/>
        </w:tabs>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电力交易机构、电力调度机构应当详细记录市场干预期间的有关情况，并向国家能源局派出监管机构、地方政府电力管理部门提交报告。</w:t>
      </w:r>
    </w:p>
    <w:p>
      <w:pPr>
        <w:pStyle w:val="40"/>
        <w:numPr>
          <w:ilvl w:val="0"/>
          <w:numId w:val="1"/>
        </w:numPr>
        <w:tabs>
          <w:tab w:val="left" w:pos="720"/>
        </w:tabs>
        <w:jc w:val="both"/>
        <w:rPr>
          <w:rFonts w:ascii="仿宋_GB2312" w:hAnsi="仿宋" w:eastAsia="仿宋_GB2312" w:cs="仿宋_GB2312"/>
          <w:color w:val="000000" w:themeColor="text1"/>
          <w:sz w:val="32"/>
          <w:szCs w:val="32"/>
        </w:rPr>
      </w:pPr>
      <w:r>
        <w:rPr>
          <w:rFonts w:hint="eastAsia" w:ascii="仿宋_GB2312" w:hAnsi="仿宋" w:eastAsia="仿宋_GB2312" w:cs="仿宋_GB2312"/>
          <w:color w:val="000000" w:themeColor="text1"/>
          <w:sz w:val="32"/>
          <w:szCs w:val="32"/>
        </w:rPr>
        <w:t>电力批发交易发生争议时，市场成员可自行协商解决，协商无法达成一致时也可提交国家能源局派出监管机构、地方政府电力管理部门调解处理，必要时可提交仲裁委员会仲裁或者向人民法院提起诉讼。</w:t>
      </w:r>
    </w:p>
    <w:bookmarkEnd w:id="32"/>
    <w:bookmarkEnd w:id="33"/>
    <w:p>
      <w:pPr>
        <w:pStyle w:val="2"/>
        <w:spacing w:before="120" w:after="120" w:line="240" w:lineRule="auto"/>
        <w:jc w:val="center"/>
        <w:rPr>
          <w:rFonts w:ascii="仿宋_GB2312" w:hAnsi="仿宋" w:eastAsia="仿宋_GB2312"/>
          <w:color w:val="000000" w:themeColor="text1"/>
          <w:sz w:val="32"/>
          <w:szCs w:val="32"/>
        </w:rPr>
      </w:pPr>
      <w:bookmarkStart w:id="34" w:name="_Toc430684141"/>
      <w:bookmarkStart w:id="35" w:name="_Toc430176630"/>
      <w:bookmarkStart w:id="36" w:name="_Toc429855143"/>
      <w:r>
        <w:rPr>
          <w:rFonts w:ascii="仿宋_GB2312" w:hAnsi="仿宋" w:eastAsia="仿宋_GB2312"/>
          <w:color w:val="000000" w:themeColor="text1"/>
          <w:sz w:val="32"/>
          <w:szCs w:val="32"/>
        </w:rPr>
        <w:t>第十二章 附 则</w:t>
      </w:r>
      <w:bookmarkEnd w:id="34"/>
      <w:bookmarkEnd w:id="35"/>
      <w:bookmarkEnd w:id="36"/>
    </w:p>
    <w:p>
      <w:pPr>
        <w:pStyle w:val="40"/>
        <w:numPr>
          <w:ilvl w:val="0"/>
          <w:numId w:val="1"/>
        </w:numPr>
        <w:tabs>
          <w:tab w:val="left" w:pos="720"/>
        </w:tabs>
        <w:ind w:firstLine="64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国家能源局及其派出监管机构会同地方政府电力管理等部门组织区域电力交易机构根据本规则拟定区域电力交易实施细则。</w:t>
      </w:r>
      <w:bookmarkStart w:id="37" w:name="OLE_LINK34"/>
      <w:r>
        <w:rPr>
          <w:rFonts w:hint="eastAsia" w:ascii="仿宋_GB2312" w:hAnsi="仿宋" w:eastAsia="仿宋_GB2312"/>
          <w:color w:val="000000" w:themeColor="text1"/>
          <w:sz w:val="32"/>
          <w:szCs w:val="32"/>
        </w:rPr>
        <w:t>国家能源局派出监管机构会同地方政府电力管理等部门</w:t>
      </w:r>
      <w:bookmarkEnd w:id="37"/>
      <w:r>
        <w:rPr>
          <w:rFonts w:hint="eastAsia" w:ascii="仿宋_GB2312" w:hAnsi="仿宋" w:eastAsia="仿宋_GB2312"/>
          <w:color w:val="000000" w:themeColor="text1"/>
          <w:sz w:val="32"/>
          <w:szCs w:val="32"/>
        </w:rPr>
        <w:t>根据本规则拟定或修订各省（市、区）电力交易实施细则。</w:t>
      </w:r>
    </w:p>
    <w:p>
      <w:pPr>
        <w:pStyle w:val="40"/>
        <w:numPr>
          <w:ilvl w:val="0"/>
          <w:numId w:val="1"/>
        </w:numPr>
        <w:tabs>
          <w:tab w:val="left" w:pos="720"/>
        </w:tabs>
        <w:ind w:firstLine="64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本规则由国家发展改革委、国家能源局负责解释。</w:t>
      </w:r>
    </w:p>
    <w:p>
      <w:pPr>
        <w:pStyle w:val="40"/>
        <w:numPr>
          <w:ilvl w:val="0"/>
          <w:numId w:val="1"/>
        </w:numPr>
        <w:tabs>
          <w:tab w:val="left" w:pos="720"/>
        </w:tabs>
        <w:ind w:firstLine="640"/>
        <w:jc w:val="both"/>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本规则自发布之日起施行，有效期三年。</w:t>
      </w: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8</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chineseCountingThousand"/>
      <w:lvlText w:val="第%1条"/>
      <w:lvlJc w:val="left"/>
      <w:pPr>
        <w:tabs>
          <w:tab w:val="left" w:pos="1429"/>
        </w:tabs>
        <w:ind w:left="85" w:firstLine="624"/>
      </w:pPr>
      <w:rPr>
        <w:rFonts w:hint="eastAsia" w:ascii="仿宋_GB2312" w:eastAsia="仿宋_GB2312"/>
        <w:b/>
        <w:i w:val="0"/>
        <w:color w:val="auto"/>
        <w:sz w:val="32"/>
        <w:szCs w:val="32"/>
        <w:lang w:val="en-US"/>
      </w:rPr>
    </w:lvl>
    <w:lvl w:ilvl="1" w:tentative="0">
      <w:start w:val="1"/>
      <w:numFmt w:val="japaneseCounting"/>
      <w:lvlText w:val="（%2）"/>
      <w:lvlJc w:val="left"/>
      <w:pPr>
        <w:tabs>
          <w:tab w:val="left" w:pos="64"/>
        </w:tabs>
        <w:ind w:left="64" w:hanging="720"/>
      </w:pPr>
      <w:rPr>
        <w:rFonts w:hint="eastAsia"/>
      </w:rPr>
    </w:lvl>
    <w:lvl w:ilvl="2" w:tentative="0">
      <w:start w:val="1"/>
      <w:numFmt w:val="lowerRoman"/>
      <w:lvlText w:val="%3."/>
      <w:lvlJc w:val="right"/>
      <w:pPr>
        <w:tabs>
          <w:tab w:val="left" w:pos="184"/>
        </w:tabs>
        <w:ind w:left="184" w:hanging="420"/>
      </w:pPr>
    </w:lvl>
    <w:lvl w:ilvl="3" w:tentative="0">
      <w:start w:val="1"/>
      <w:numFmt w:val="decimal"/>
      <w:lvlText w:val="%4."/>
      <w:lvlJc w:val="left"/>
      <w:pPr>
        <w:tabs>
          <w:tab w:val="left" w:pos="604"/>
        </w:tabs>
        <w:ind w:left="604" w:hanging="420"/>
      </w:pPr>
    </w:lvl>
    <w:lvl w:ilvl="4" w:tentative="0">
      <w:start w:val="1"/>
      <w:numFmt w:val="lowerLetter"/>
      <w:lvlText w:val="%5)"/>
      <w:lvlJc w:val="left"/>
      <w:pPr>
        <w:tabs>
          <w:tab w:val="left" w:pos="1024"/>
        </w:tabs>
        <w:ind w:left="1024" w:hanging="420"/>
      </w:pPr>
    </w:lvl>
    <w:lvl w:ilvl="5" w:tentative="0">
      <w:start w:val="1"/>
      <w:numFmt w:val="lowerRoman"/>
      <w:lvlText w:val="%6."/>
      <w:lvlJc w:val="right"/>
      <w:pPr>
        <w:tabs>
          <w:tab w:val="left" w:pos="1444"/>
        </w:tabs>
        <w:ind w:left="1444" w:hanging="420"/>
      </w:pPr>
    </w:lvl>
    <w:lvl w:ilvl="6" w:tentative="0">
      <w:start w:val="1"/>
      <w:numFmt w:val="decimal"/>
      <w:lvlText w:val="%7."/>
      <w:lvlJc w:val="left"/>
      <w:pPr>
        <w:tabs>
          <w:tab w:val="left" w:pos="1864"/>
        </w:tabs>
        <w:ind w:left="1864" w:hanging="420"/>
      </w:pPr>
    </w:lvl>
    <w:lvl w:ilvl="7" w:tentative="0">
      <w:start w:val="1"/>
      <w:numFmt w:val="lowerLetter"/>
      <w:lvlText w:val="%8)"/>
      <w:lvlJc w:val="left"/>
      <w:pPr>
        <w:tabs>
          <w:tab w:val="left" w:pos="2284"/>
        </w:tabs>
        <w:ind w:left="2284" w:hanging="420"/>
      </w:pPr>
    </w:lvl>
    <w:lvl w:ilvl="8" w:tentative="0">
      <w:start w:val="1"/>
      <w:numFmt w:val="lowerRoman"/>
      <w:lvlText w:val="%9."/>
      <w:lvlJc w:val="right"/>
      <w:pPr>
        <w:tabs>
          <w:tab w:val="left" w:pos="2704"/>
        </w:tabs>
        <w:ind w:left="2704" w:hanging="420"/>
      </w:pPr>
    </w:lvl>
  </w:abstractNum>
  <w:abstractNum w:abstractNumId="1">
    <w:nsid w:val="00000006"/>
    <w:multiLevelType w:val="singleLevel"/>
    <w:tmpl w:val="00000006"/>
    <w:lvl w:ilvl="0" w:tentative="0">
      <w:start w:val="1"/>
      <w:numFmt w:val="chineseCounting"/>
      <w:suff w:val="nothing"/>
      <w:lvlText w:val="（%1）"/>
      <w:lvlJc w:val="left"/>
    </w:lvl>
  </w:abstractNum>
  <w:abstractNum w:abstractNumId="2">
    <w:nsid w:val="00000009"/>
    <w:multiLevelType w:val="singleLevel"/>
    <w:tmpl w:val="00000009"/>
    <w:lvl w:ilvl="0" w:tentative="0">
      <w:start w:val="1"/>
      <w:numFmt w:val="chineseCounting"/>
      <w:suff w:val="nothing"/>
      <w:lvlText w:val="（%1）"/>
      <w:lvlJc w:val="left"/>
    </w:lvl>
  </w:abstractNum>
  <w:abstractNum w:abstractNumId="3">
    <w:nsid w:val="17793D6F"/>
    <w:multiLevelType w:val="singleLevel"/>
    <w:tmpl w:val="17793D6F"/>
    <w:lvl w:ilvl="0" w:tentative="0">
      <w:start w:val="2"/>
      <w:numFmt w:val="decimal"/>
      <w:suff w:val="space"/>
      <w:lvlText w:val="%1."/>
      <w:lvlJc w:val="left"/>
    </w:lvl>
  </w:abstractNum>
  <w:num w:numId="1">
    <w:abstractNumId w:val="0"/>
  </w:num>
  <w:num w:numId="2">
    <w:abstractNumId w:val="3"/>
  </w:num>
  <w:num w:numId="3">
    <w:abstractNumId w:val="1"/>
    <w:lvlOverride w:ilvl="0">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156"/>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NDNmZGQxMDhhMjVkNTVkYzczZjg2YzZlMmZkM2MzMDgifQ=="/>
  </w:docVars>
  <w:rsids>
    <w:rsidRoot w:val="00172A27"/>
    <w:rsid w:val="00000857"/>
    <w:rsid w:val="00000A1A"/>
    <w:rsid w:val="000022F5"/>
    <w:rsid w:val="0000302F"/>
    <w:rsid w:val="000030CE"/>
    <w:rsid w:val="00003818"/>
    <w:rsid w:val="00003857"/>
    <w:rsid w:val="000040CD"/>
    <w:rsid w:val="0000412F"/>
    <w:rsid w:val="00005ACF"/>
    <w:rsid w:val="000064FF"/>
    <w:rsid w:val="000101BF"/>
    <w:rsid w:val="000110DE"/>
    <w:rsid w:val="00011B3E"/>
    <w:rsid w:val="00012EAD"/>
    <w:rsid w:val="00012EEA"/>
    <w:rsid w:val="00012EEB"/>
    <w:rsid w:val="00013191"/>
    <w:rsid w:val="00013376"/>
    <w:rsid w:val="0001654C"/>
    <w:rsid w:val="000166E4"/>
    <w:rsid w:val="00016E58"/>
    <w:rsid w:val="000207B3"/>
    <w:rsid w:val="000209BD"/>
    <w:rsid w:val="00020A17"/>
    <w:rsid w:val="000212F5"/>
    <w:rsid w:val="00021E5C"/>
    <w:rsid w:val="0002209F"/>
    <w:rsid w:val="000252E3"/>
    <w:rsid w:val="0002554B"/>
    <w:rsid w:val="0002653C"/>
    <w:rsid w:val="0003028C"/>
    <w:rsid w:val="00030CDB"/>
    <w:rsid w:val="00033AEF"/>
    <w:rsid w:val="00033DF0"/>
    <w:rsid w:val="00034657"/>
    <w:rsid w:val="00035387"/>
    <w:rsid w:val="000356B2"/>
    <w:rsid w:val="00036D33"/>
    <w:rsid w:val="0003795C"/>
    <w:rsid w:val="00040068"/>
    <w:rsid w:val="000402B4"/>
    <w:rsid w:val="00040C2F"/>
    <w:rsid w:val="00041736"/>
    <w:rsid w:val="00041802"/>
    <w:rsid w:val="000441C6"/>
    <w:rsid w:val="00047801"/>
    <w:rsid w:val="00051579"/>
    <w:rsid w:val="000518CC"/>
    <w:rsid w:val="00052245"/>
    <w:rsid w:val="00053B6E"/>
    <w:rsid w:val="000547F4"/>
    <w:rsid w:val="0005483E"/>
    <w:rsid w:val="00054D55"/>
    <w:rsid w:val="00054DCE"/>
    <w:rsid w:val="00054E7D"/>
    <w:rsid w:val="000557FF"/>
    <w:rsid w:val="00055E84"/>
    <w:rsid w:val="00056024"/>
    <w:rsid w:val="000573A0"/>
    <w:rsid w:val="00061725"/>
    <w:rsid w:val="000641D4"/>
    <w:rsid w:val="00064640"/>
    <w:rsid w:val="00064F0F"/>
    <w:rsid w:val="0006525F"/>
    <w:rsid w:val="00065957"/>
    <w:rsid w:val="00065BCC"/>
    <w:rsid w:val="00066F2C"/>
    <w:rsid w:val="000679BF"/>
    <w:rsid w:val="00071096"/>
    <w:rsid w:val="00071385"/>
    <w:rsid w:val="00071714"/>
    <w:rsid w:val="000719D0"/>
    <w:rsid w:val="000720C2"/>
    <w:rsid w:val="000721C0"/>
    <w:rsid w:val="00072F88"/>
    <w:rsid w:val="000736E9"/>
    <w:rsid w:val="00074218"/>
    <w:rsid w:val="000749E6"/>
    <w:rsid w:val="00074EDD"/>
    <w:rsid w:val="00075364"/>
    <w:rsid w:val="000757C1"/>
    <w:rsid w:val="000759B3"/>
    <w:rsid w:val="000769E5"/>
    <w:rsid w:val="000779D4"/>
    <w:rsid w:val="00080F1F"/>
    <w:rsid w:val="00083C8A"/>
    <w:rsid w:val="00083EEA"/>
    <w:rsid w:val="000841E7"/>
    <w:rsid w:val="00085213"/>
    <w:rsid w:val="000859BA"/>
    <w:rsid w:val="00085DA4"/>
    <w:rsid w:val="000878F4"/>
    <w:rsid w:val="00087E4D"/>
    <w:rsid w:val="0009047E"/>
    <w:rsid w:val="000906D2"/>
    <w:rsid w:val="00090B47"/>
    <w:rsid w:val="000925EB"/>
    <w:rsid w:val="00093173"/>
    <w:rsid w:val="0009369E"/>
    <w:rsid w:val="00095214"/>
    <w:rsid w:val="00096484"/>
    <w:rsid w:val="00096755"/>
    <w:rsid w:val="0009696B"/>
    <w:rsid w:val="00096B17"/>
    <w:rsid w:val="0009778E"/>
    <w:rsid w:val="000A0C01"/>
    <w:rsid w:val="000A1A0E"/>
    <w:rsid w:val="000A21C7"/>
    <w:rsid w:val="000A24CE"/>
    <w:rsid w:val="000A351A"/>
    <w:rsid w:val="000A3B8A"/>
    <w:rsid w:val="000A4D29"/>
    <w:rsid w:val="000A570F"/>
    <w:rsid w:val="000A66DE"/>
    <w:rsid w:val="000B214A"/>
    <w:rsid w:val="000B6E8F"/>
    <w:rsid w:val="000B73CF"/>
    <w:rsid w:val="000B77FF"/>
    <w:rsid w:val="000B7C47"/>
    <w:rsid w:val="000C161A"/>
    <w:rsid w:val="000C2DB2"/>
    <w:rsid w:val="000C3428"/>
    <w:rsid w:val="000C5798"/>
    <w:rsid w:val="000C62B2"/>
    <w:rsid w:val="000C7C0D"/>
    <w:rsid w:val="000D0887"/>
    <w:rsid w:val="000D0D4D"/>
    <w:rsid w:val="000D1181"/>
    <w:rsid w:val="000D27C3"/>
    <w:rsid w:val="000D3348"/>
    <w:rsid w:val="000D5120"/>
    <w:rsid w:val="000D5433"/>
    <w:rsid w:val="000D5C4F"/>
    <w:rsid w:val="000D6B0D"/>
    <w:rsid w:val="000D7AA7"/>
    <w:rsid w:val="000E03EC"/>
    <w:rsid w:val="000E0667"/>
    <w:rsid w:val="000E0909"/>
    <w:rsid w:val="000E178A"/>
    <w:rsid w:val="000E1BDC"/>
    <w:rsid w:val="000E3470"/>
    <w:rsid w:val="000E3A11"/>
    <w:rsid w:val="000E3EA8"/>
    <w:rsid w:val="000E45EB"/>
    <w:rsid w:val="000E58D5"/>
    <w:rsid w:val="000E5FE6"/>
    <w:rsid w:val="000E7AF1"/>
    <w:rsid w:val="000F0B69"/>
    <w:rsid w:val="000F0C0B"/>
    <w:rsid w:val="000F0FF7"/>
    <w:rsid w:val="000F1892"/>
    <w:rsid w:val="000F1BFE"/>
    <w:rsid w:val="000F20B8"/>
    <w:rsid w:val="000F2481"/>
    <w:rsid w:val="000F3533"/>
    <w:rsid w:val="000F3F53"/>
    <w:rsid w:val="000F4333"/>
    <w:rsid w:val="000F4906"/>
    <w:rsid w:val="000F4A36"/>
    <w:rsid w:val="000F5570"/>
    <w:rsid w:val="000F74D2"/>
    <w:rsid w:val="000F7520"/>
    <w:rsid w:val="000F7ACB"/>
    <w:rsid w:val="001004F5"/>
    <w:rsid w:val="00101B56"/>
    <w:rsid w:val="00101D37"/>
    <w:rsid w:val="00102DCE"/>
    <w:rsid w:val="001050C6"/>
    <w:rsid w:val="00105F9B"/>
    <w:rsid w:val="00106141"/>
    <w:rsid w:val="00106421"/>
    <w:rsid w:val="0010682A"/>
    <w:rsid w:val="00107819"/>
    <w:rsid w:val="00110078"/>
    <w:rsid w:val="00111714"/>
    <w:rsid w:val="00112B4E"/>
    <w:rsid w:val="00113263"/>
    <w:rsid w:val="00113394"/>
    <w:rsid w:val="0011370C"/>
    <w:rsid w:val="001142C2"/>
    <w:rsid w:val="00115690"/>
    <w:rsid w:val="00115B10"/>
    <w:rsid w:val="00115FF6"/>
    <w:rsid w:val="00116F00"/>
    <w:rsid w:val="00117410"/>
    <w:rsid w:val="001213BC"/>
    <w:rsid w:val="001223FE"/>
    <w:rsid w:val="00124CA0"/>
    <w:rsid w:val="001261B1"/>
    <w:rsid w:val="00127B05"/>
    <w:rsid w:val="0013127F"/>
    <w:rsid w:val="00132302"/>
    <w:rsid w:val="0013299F"/>
    <w:rsid w:val="00135322"/>
    <w:rsid w:val="0013696C"/>
    <w:rsid w:val="00136F95"/>
    <w:rsid w:val="001406FD"/>
    <w:rsid w:val="00140D21"/>
    <w:rsid w:val="001433CB"/>
    <w:rsid w:val="00145680"/>
    <w:rsid w:val="00146060"/>
    <w:rsid w:val="00146461"/>
    <w:rsid w:val="00146F5F"/>
    <w:rsid w:val="0014747C"/>
    <w:rsid w:val="00151C4D"/>
    <w:rsid w:val="0015273A"/>
    <w:rsid w:val="00152811"/>
    <w:rsid w:val="00153018"/>
    <w:rsid w:val="00153296"/>
    <w:rsid w:val="00154136"/>
    <w:rsid w:val="00154408"/>
    <w:rsid w:val="00155A4D"/>
    <w:rsid w:val="00155BCF"/>
    <w:rsid w:val="00156C93"/>
    <w:rsid w:val="00160EA3"/>
    <w:rsid w:val="0016131F"/>
    <w:rsid w:val="00161F24"/>
    <w:rsid w:val="00162DEA"/>
    <w:rsid w:val="0016360D"/>
    <w:rsid w:val="001637C5"/>
    <w:rsid w:val="00164102"/>
    <w:rsid w:val="00164326"/>
    <w:rsid w:val="00164AF8"/>
    <w:rsid w:val="00164E69"/>
    <w:rsid w:val="00165B72"/>
    <w:rsid w:val="001668B8"/>
    <w:rsid w:val="001715AD"/>
    <w:rsid w:val="00171BB7"/>
    <w:rsid w:val="00172A27"/>
    <w:rsid w:val="00172CFD"/>
    <w:rsid w:val="00173070"/>
    <w:rsid w:val="001731CB"/>
    <w:rsid w:val="00174CFF"/>
    <w:rsid w:val="001763D2"/>
    <w:rsid w:val="00176E99"/>
    <w:rsid w:val="00177821"/>
    <w:rsid w:val="00177D0C"/>
    <w:rsid w:val="001805D4"/>
    <w:rsid w:val="00180B3A"/>
    <w:rsid w:val="00180B56"/>
    <w:rsid w:val="00180CBF"/>
    <w:rsid w:val="00181770"/>
    <w:rsid w:val="00181E60"/>
    <w:rsid w:val="00183109"/>
    <w:rsid w:val="001848A0"/>
    <w:rsid w:val="00185116"/>
    <w:rsid w:val="00187C08"/>
    <w:rsid w:val="00190988"/>
    <w:rsid w:val="00192BFD"/>
    <w:rsid w:val="00193A9B"/>
    <w:rsid w:val="0019425E"/>
    <w:rsid w:val="001944DA"/>
    <w:rsid w:val="001948F8"/>
    <w:rsid w:val="0019570E"/>
    <w:rsid w:val="00195739"/>
    <w:rsid w:val="001A2E2B"/>
    <w:rsid w:val="001A3100"/>
    <w:rsid w:val="001A4F32"/>
    <w:rsid w:val="001A60DD"/>
    <w:rsid w:val="001B1421"/>
    <w:rsid w:val="001B1BB7"/>
    <w:rsid w:val="001B266B"/>
    <w:rsid w:val="001B3DD7"/>
    <w:rsid w:val="001B3E7D"/>
    <w:rsid w:val="001B417D"/>
    <w:rsid w:val="001B46BB"/>
    <w:rsid w:val="001B5A7D"/>
    <w:rsid w:val="001B5C42"/>
    <w:rsid w:val="001B66FE"/>
    <w:rsid w:val="001B6AC6"/>
    <w:rsid w:val="001B7160"/>
    <w:rsid w:val="001B7486"/>
    <w:rsid w:val="001B7E3C"/>
    <w:rsid w:val="001C05B1"/>
    <w:rsid w:val="001C0C8E"/>
    <w:rsid w:val="001C1F81"/>
    <w:rsid w:val="001C2EBE"/>
    <w:rsid w:val="001C58B1"/>
    <w:rsid w:val="001C59CA"/>
    <w:rsid w:val="001C5F5D"/>
    <w:rsid w:val="001C6812"/>
    <w:rsid w:val="001C6A2A"/>
    <w:rsid w:val="001C7685"/>
    <w:rsid w:val="001C76B4"/>
    <w:rsid w:val="001D0593"/>
    <w:rsid w:val="001D0BAD"/>
    <w:rsid w:val="001D18E0"/>
    <w:rsid w:val="001D270A"/>
    <w:rsid w:val="001D3ED8"/>
    <w:rsid w:val="001D42DB"/>
    <w:rsid w:val="001D45F3"/>
    <w:rsid w:val="001D5B01"/>
    <w:rsid w:val="001D6387"/>
    <w:rsid w:val="001E007B"/>
    <w:rsid w:val="001E1563"/>
    <w:rsid w:val="001E18D3"/>
    <w:rsid w:val="001E3BDB"/>
    <w:rsid w:val="001E5E4D"/>
    <w:rsid w:val="001E5F5D"/>
    <w:rsid w:val="001E6286"/>
    <w:rsid w:val="001F0444"/>
    <w:rsid w:val="001F15C0"/>
    <w:rsid w:val="001F1C91"/>
    <w:rsid w:val="001F251A"/>
    <w:rsid w:val="001F2B77"/>
    <w:rsid w:val="001F44B8"/>
    <w:rsid w:val="001F4814"/>
    <w:rsid w:val="001F5150"/>
    <w:rsid w:val="001F54BE"/>
    <w:rsid w:val="001F5BC7"/>
    <w:rsid w:val="0020252D"/>
    <w:rsid w:val="002034B8"/>
    <w:rsid w:val="00203A4E"/>
    <w:rsid w:val="0020526A"/>
    <w:rsid w:val="00205700"/>
    <w:rsid w:val="00206274"/>
    <w:rsid w:val="0020651F"/>
    <w:rsid w:val="0020662E"/>
    <w:rsid w:val="00207E85"/>
    <w:rsid w:val="00210281"/>
    <w:rsid w:val="00210AD4"/>
    <w:rsid w:val="00211DEE"/>
    <w:rsid w:val="00212545"/>
    <w:rsid w:val="002129A5"/>
    <w:rsid w:val="00213E48"/>
    <w:rsid w:val="00215521"/>
    <w:rsid w:val="002158C0"/>
    <w:rsid w:val="00216685"/>
    <w:rsid w:val="002177E0"/>
    <w:rsid w:val="00217AF3"/>
    <w:rsid w:val="00224E94"/>
    <w:rsid w:val="00224F6C"/>
    <w:rsid w:val="002250D8"/>
    <w:rsid w:val="00225970"/>
    <w:rsid w:val="002274F2"/>
    <w:rsid w:val="00227A54"/>
    <w:rsid w:val="00232400"/>
    <w:rsid w:val="002335B5"/>
    <w:rsid w:val="00233D96"/>
    <w:rsid w:val="00235275"/>
    <w:rsid w:val="00235698"/>
    <w:rsid w:val="00241E90"/>
    <w:rsid w:val="00242C70"/>
    <w:rsid w:val="002430EC"/>
    <w:rsid w:val="00243603"/>
    <w:rsid w:val="0024363B"/>
    <w:rsid w:val="002438E5"/>
    <w:rsid w:val="00243E4D"/>
    <w:rsid w:val="002451A6"/>
    <w:rsid w:val="00247E87"/>
    <w:rsid w:val="0025065E"/>
    <w:rsid w:val="0025069C"/>
    <w:rsid w:val="00251CA1"/>
    <w:rsid w:val="002521F9"/>
    <w:rsid w:val="00252B15"/>
    <w:rsid w:val="00252EA2"/>
    <w:rsid w:val="00255E6D"/>
    <w:rsid w:val="00256D45"/>
    <w:rsid w:val="00256E31"/>
    <w:rsid w:val="002571AD"/>
    <w:rsid w:val="002607E8"/>
    <w:rsid w:val="00261784"/>
    <w:rsid w:val="00261AF3"/>
    <w:rsid w:val="002621EB"/>
    <w:rsid w:val="002635F6"/>
    <w:rsid w:val="0026395C"/>
    <w:rsid w:val="00264432"/>
    <w:rsid w:val="0026448F"/>
    <w:rsid w:val="00264B94"/>
    <w:rsid w:val="00266B32"/>
    <w:rsid w:val="00272B82"/>
    <w:rsid w:val="00273799"/>
    <w:rsid w:val="002743D4"/>
    <w:rsid w:val="0027519F"/>
    <w:rsid w:val="00275B3A"/>
    <w:rsid w:val="002763B6"/>
    <w:rsid w:val="002775EE"/>
    <w:rsid w:val="00277BD8"/>
    <w:rsid w:val="0028008E"/>
    <w:rsid w:val="00281717"/>
    <w:rsid w:val="0028213C"/>
    <w:rsid w:val="00282FDD"/>
    <w:rsid w:val="00283094"/>
    <w:rsid w:val="00284B86"/>
    <w:rsid w:val="00284F39"/>
    <w:rsid w:val="002850A7"/>
    <w:rsid w:val="002851FE"/>
    <w:rsid w:val="00286618"/>
    <w:rsid w:val="00291BB0"/>
    <w:rsid w:val="00292C2F"/>
    <w:rsid w:val="00293059"/>
    <w:rsid w:val="0029314E"/>
    <w:rsid w:val="0029422B"/>
    <w:rsid w:val="002957A8"/>
    <w:rsid w:val="00296057"/>
    <w:rsid w:val="0029753B"/>
    <w:rsid w:val="002A0C72"/>
    <w:rsid w:val="002A1DA6"/>
    <w:rsid w:val="002A39B8"/>
    <w:rsid w:val="002A5A7A"/>
    <w:rsid w:val="002A6287"/>
    <w:rsid w:val="002A6325"/>
    <w:rsid w:val="002A6EED"/>
    <w:rsid w:val="002B0D63"/>
    <w:rsid w:val="002B127A"/>
    <w:rsid w:val="002B1B04"/>
    <w:rsid w:val="002B2DC9"/>
    <w:rsid w:val="002B320D"/>
    <w:rsid w:val="002B5E7D"/>
    <w:rsid w:val="002B639B"/>
    <w:rsid w:val="002B6B65"/>
    <w:rsid w:val="002B6E39"/>
    <w:rsid w:val="002B716E"/>
    <w:rsid w:val="002B7F92"/>
    <w:rsid w:val="002C1287"/>
    <w:rsid w:val="002C2A12"/>
    <w:rsid w:val="002C31A6"/>
    <w:rsid w:val="002C3B40"/>
    <w:rsid w:val="002C3C42"/>
    <w:rsid w:val="002C4B0C"/>
    <w:rsid w:val="002C5093"/>
    <w:rsid w:val="002C62B2"/>
    <w:rsid w:val="002C63B6"/>
    <w:rsid w:val="002C6976"/>
    <w:rsid w:val="002C6CD8"/>
    <w:rsid w:val="002D0F9A"/>
    <w:rsid w:val="002D1743"/>
    <w:rsid w:val="002D1B52"/>
    <w:rsid w:val="002D2922"/>
    <w:rsid w:val="002D2F90"/>
    <w:rsid w:val="002D37AD"/>
    <w:rsid w:val="002D3BDA"/>
    <w:rsid w:val="002D3F52"/>
    <w:rsid w:val="002D4B1D"/>
    <w:rsid w:val="002D58E5"/>
    <w:rsid w:val="002D6063"/>
    <w:rsid w:val="002D68FD"/>
    <w:rsid w:val="002D70A3"/>
    <w:rsid w:val="002D772D"/>
    <w:rsid w:val="002E0B35"/>
    <w:rsid w:val="002E102A"/>
    <w:rsid w:val="002E1663"/>
    <w:rsid w:val="002E1805"/>
    <w:rsid w:val="002E2744"/>
    <w:rsid w:val="002E2D83"/>
    <w:rsid w:val="002E2F47"/>
    <w:rsid w:val="002E3243"/>
    <w:rsid w:val="002E3426"/>
    <w:rsid w:val="002E5054"/>
    <w:rsid w:val="002E57C6"/>
    <w:rsid w:val="002E5AC1"/>
    <w:rsid w:val="002E6424"/>
    <w:rsid w:val="002F06BD"/>
    <w:rsid w:val="002F07CC"/>
    <w:rsid w:val="002F0C60"/>
    <w:rsid w:val="002F16B2"/>
    <w:rsid w:val="002F1B5C"/>
    <w:rsid w:val="002F3F2C"/>
    <w:rsid w:val="002F496A"/>
    <w:rsid w:val="002F4B37"/>
    <w:rsid w:val="002F50B5"/>
    <w:rsid w:val="002F5D7E"/>
    <w:rsid w:val="002F5FA4"/>
    <w:rsid w:val="002F6C89"/>
    <w:rsid w:val="002F6D57"/>
    <w:rsid w:val="002F73F6"/>
    <w:rsid w:val="00300D7C"/>
    <w:rsid w:val="00301CE8"/>
    <w:rsid w:val="00301F14"/>
    <w:rsid w:val="00303ECE"/>
    <w:rsid w:val="0030477C"/>
    <w:rsid w:val="003061A4"/>
    <w:rsid w:val="00306594"/>
    <w:rsid w:val="00310663"/>
    <w:rsid w:val="00310C8B"/>
    <w:rsid w:val="0031125E"/>
    <w:rsid w:val="003113C7"/>
    <w:rsid w:val="00313938"/>
    <w:rsid w:val="00314E5B"/>
    <w:rsid w:val="0031578A"/>
    <w:rsid w:val="0031760C"/>
    <w:rsid w:val="003179A5"/>
    <w:rsid w:val="003179F2"/>
    <w:rsid w:val="0032073F"/>
    <w:rsid w:val="00323C75"/>
    <w:rsid w:val="0032432C"/>
    <w:rsid w:val="0032665C"/>
    <w:rsid w:val="00327550"/>
    <w:rsid w:val="00330CEF"/>
    <w:rsid w:val="003325E0"/>
    <w:rsid w:val="00333271"/>
    <w:rsid w:val="00333B48"/>
    <w:rsid w:val="00334FCB"/>
    <w:rsid w:val="003356C4"/>
    <w:rsid w:val="003358E8"/>
    <w:rsid w:val="00335CB9"/>
    <w:rsid w:val="0033642B"/>
    <w:rsid w:val="00337029"/>
    <w:rsid w:val="003373BD"/>
    <w:rsid w:val="00337846"/>
    <w:rsid w:val="00337B3C"/>
    <w:rsid w:val="00340226"/>
    <w:rsid w:val="0034113F"/>
    <w:rsid w:val="00341D90"/>
    <w:rsid w:val="00342213"/>
    <w:rsid w:val="0034395E"/>
    <w:rsid w:val="00343A5C"/>
    <w:rsid w:val="00343EC8"/>
    <w:rsid w:val="00344550"/>
    <w:rsid w:val="00345767"/>
    <w:rsid w:val="00345F9C"/>
    <w:rsid w:val="00345FF0"/>
    <w:rsid w:val="00346B75"/>
    <w:rsid w:val="00346E2B"/>
    <w:rsid w:val="00347F6D"/>
    <w:rsid w:val="0035307A"/>
    <w:rsid w:val="003531CB"/>
    <w:rsid w:val="00353A72"/>
    <w:rsid w:val="00354A00"/>
    <w:rsid w:val="00357C6E"/>
    <w:rsid w:val="00360138"/>
    <w:rsid w:val="003624C3"/>
    <w:rsid w:val="00363DC9"/>
    <w:rsid w:val="00364816"/>
    <w:rsid w:val="00364999"/>
    <w:rsid w:val="00365655"/>
    <w:rsid w:val="003665AA"/>
    <w:rsid w:val="0036743D"/>
    <w:rsid w:val="00367F02"/>
    <w:rsid w:val="00367F13"/>
    <w:rsid w:val="00370F02"/>
    <w:rsid w:val="003712F9"/>
    <w:rsid w:val="0037227E"/>
    <w:rsid w:val="00373934"/>
    <w:rsid w:val="00373C2B"/>
    <w:rsid w:val="003746E3"/>
    <w:rsid w:val="003755E3"/>
    <w:rsid w:val="00376729"/>
    <w:rsid w:val="00376FF2"/>
    <w:rsid w:val="00377BB7"/>
    <w:rsid w:val="00380C3A"/>
    <w:rsid w:val="00380CCC"/>
    <w:rsid w:val="0038167D"/>
    <w:rsid w:val="00381FD8"/>
    <w:rsid w:val="003825AD"/>
    <w:rsid w:val="003825B2"/>
    <w:rsid w:val="0038278F"/>
    <w:rsid w:val="00382AC0"/>
    <w:rsid w:val="00383DE5"/>
    <w:rsid w:val="0038496D"/>
    <w:rsid w:val="003868B1"/>
    <w:rsid w:val="0039042B"/>
    <w:rsid w:val="00391D8C"/>
    <w:rsid w:val="0039207E"/>
    <w:rsid w:val="00392BCE"/>
    <w:rsid w:val="00392E4D"/>
    <w:rsid w:val="00393C28"/>
    <w:rsid w:val="00393E38"/>
    <w:rsid w:val="003946D1"/>
    <w:rsid w:val="00394C0E"/>
    <w:rsid w:val="003976DE"/>
    <w:rsid w:val="00397CAF"/>
    <w:rsid w:val="003A0E19"/>
    <w:rsid w:val="003A19F5"/>
    <w:rsid w:val="003A1BB3"/>
    <w:rsid w:val="003A2612"/>
    <w:rsid w:val="003A4069"/>
    <w:rsid w:val="003A5381"/>
    <w:rsid w:val="003A6F05"/>
    <w:rsid w:val="003B04E1"/>
    <w:rsid w:val="003B0998"/>
    <w:rsid w:val="003B1755"/>
    <w:rsid w:val="003B250B"/>
    <w:rsid w:val="003B2812"/>
    <w:rsid w:val="003B2992"/>
    <w:rsid w:val="003B2A52"/>
    <w:rsid w:val="003B4719"/>
    <w:rsid w:val="003B6193"/>
    <w:rsid w:val="003C0471"/>
    <w:rsid w:val="003C1A81"/>
    <w:rsid w:val="003C4093"/>
    <w:rsid w:val="003C40C7"/>
    <w:rsid w:val="003C4B68"/>
    <w:rsid w:val="003C638D"/>
    <w:rsid w:val="003D1282"/>
    <w:rsid w:val="003D1A8F"/>
    <w:rsid w:val="003D563D"/>
    <w:rsid w:val="003E0046"/>
    <w:rsid w:val="003E106D"/>
    <w:rsid w:val="003E194A"/>
    <w:rsid w:val="003E1A25"/>
    <w:rsid w:val="003E2B79"/>
    <w:rsid w:val="003E2ECB"/>
    <w:rsid w:val="003E3171"/>
    <w:rsid w:val="003E34C6"/>
    <w:rsid w:val="003E39F9"/>
    <w:rsid w:val="003E4D70"/>
    <w:rsid w:val="003E5DE4"/>
    <w:rsid w:val="003E60D8"/>
    <w:rsid w:val="003E662F"/>
    <w:rsid w:val="003E7720"/>
    <w:rsid w:val="003F0A43"/>
    <w:rsid w:val="003F25D8"/>
    <w:rsid w:val="003F4225"/>
    <w:rsid w:val="003F4397"/>
    <w:rsid w:val="003F48DE"/>
    <w:rsid w:val="003F605B"/>
    <w:rsid w:val="003F6898"/>
    <w:rsid w:val="003F69B2"/>
    <w:rsid w:val="003F7F20"/>
    <w:rsid w:val="0040035F"/>
    <w:rsid w:val="004020A1"/>
    <w:rsid w:val="00402A3C"/>
    <w:rsid w:val="004061E2"/>
    <w:rsid w:val="00407F3D"/>
    <w:rsid w:val="00410DA2"/>
    <w:rsid w:val="0041100A"/>
    <w:rsid w:val="00411202"/>
    <w:rsid w:val="00411213"/>
    <w:rsid w:val="00411B5A"/>
    <w:rsid w:val="004123FC"/>
    <w:rsid w:val="00412760"/>
    <w:rsid w:val="004127F4"/>
    <w:rsid w:val="00412A10"/>
    <w:rsid w:val="00413460"/>
    <w:rsid w:val="004140E4"/>
    <w:rsid w:val="004140F3"/>
    <w:rsid w:val="00414EF4"/>
    <w:rsid w:val="00415B22"/>
    <w:rsid w:val="00420344"/>
    <w:rsid w:val="00422C26"/>
    <w:rsid w:val="00424415"/>
    <w:rsid w:val="0042456B"/>
    <w:rsid w:val="0042572D"/>
    <w:rsid w:val="004262CE"/>
    <w:rsid w:val="00426706"/>
    <w:rsid w:val="0042690C"/>
    <w:rsid w:val="0042724F"/>
    <w:rsid w:val="00430271"/>
    <w:rsid w:val="00431959"/>
    <w:rsid w:val="00432180"/>
    <w:rsid w:val="00433B7E"/>
    <w:rsid w:val="00433F60"/>
    <w:rsid w:val="00435DEB"/>
    <w:rsid w:val="00436357"/>
    <w:rsid w:val="00436D55"/>
    <w:rsid w:val="004374C5"/>
    <w:rsid w:val="00437D71"/>
    <w:rsid w:val="00437D8F"/>
    <w:rsid w:val="00437F01"/>
    <w:rsid w:val="00441CA0"/>
    <w:rsid w:val="00442652"/>
    <w:rsid w:val="00442B33"/>
    <w:rsid w:val="004435B9"/>
    <w:rsid w:val="00443844"/>
    <w:rsid w:val="00444C03"/>
    <w:rsid w:val="00447059"/>
    <w:rsid w:val="0044723D"/>
    <w:rsid w:val="004477A8"/>
    <w:rsid w:val="00447D78"/>
    <w:rsid w:val="00447F1E"/>
    <w:rsid w:val="00451CEB"/>
    <w:rsid w:val="00452478"/>
    <w:rsid w:val="004526DE"/>
    <w:rsid w:val="00453204"/>
    <w:rsid w:val="00453C08"/>
    <w:rsid w:val="00454AAE"/>
    <w:rsid w:val="0045578E"/>
    <w:rsid w:val="004564B6"/>
    <w:rsid w:val="00456E7B"/>
    <w:rsid w:val="00456EC7"/>
    <w:rsid w:val="0046134C"/>
    <w:rsid w:val="00461820"/>
    <w:rsid w:val="00462EA1"/>
    <w:rsid w:val="00463470"/>
    <w:rsid w:val="00463521"/>
    <w:rsid w:val="004635CE"/>
    <w:rsid w:val="00465270"/>
    <w:rsid w:val="004659BF"/>
    <w:rsid w:val="00467178"/>
    <w:rsid w:val="00467905"/>
    <w:rsid w:val="004726D8"/>
    <w:rsid w:val="004738B9"/>
    <w:rsid w:val="004742CF"/>
    <w:rsid w:val="00474E6E"/>
    <w:rsid w:val="00475035"/>
    <w:rsid w:val="0047537B"/>
    <w:rsid w:val="00476CB6"/>
    <w:rsid w:val="00476D70"/>
    <w:rsid w:val="0047703D"/>
    <w:rsid w:val="0047731A"/>
    <w:rsid w:val="004775CA"/>
    <w:rsid w:val="004800B4"/>
    <w:rsid w:val="0048064C"/>
    <w:rsid w:val="0048096B"/>
    <w:rsid w:val="00481CC2"/>
    <w:rsid w:val="00482F86"/>
    <w:rsid w:val="00485C5E"/>
    <w:rsid w:val="00486247"/>
    <w:rsid w:val="00487BEF"/>
    <w:rsid w:val="004909B6"/>
    <w:rsid w:val="00491B2E"/>
    <w:rsid w:val="0049223B"/>
    <w:rsid w:val="004929EF"/>
    <w:rsid w:val="00493DA4"/>
    <w:rsid w:val="004943A9"/>
    <w:rsid w:val="00495A9A"/>
    <w:rsid w:val="004A0737"/>
    <w:rsid w:val="004A100C"/>
    <w:rsid w:val="004A1A8A"/>
    <w:rsid w:val="004A1D66"/>
    <w:rsid w:val="004A28E1"/>
    <w:rsid w:val="004A333F"/>
    <w:rsid w:val="004A3EC3"/>
    <w:rsid w:val="004A41CA"/>
    <w:rsid w:val="004A4637"/>
    <w:rsid w:val="004A4EFA"/>
    <w:rsid w:val="004A619D"/>
    <w:rsid w:val="004A642C"/>
    <w:rsid w:val="004A7AC2"/>
    <w:rsid w:val="004A7BD8"/>
    <w:rsid w:val="004B28DC"/>
    <w:rsid w:val="004B3583"/>
    <w:rsid w:val="004B3964"/>
    <w:rsid w:val="004B3CC7"/>
    <w:rsid w:val="004B3E81"/>
    <w:rsid w:val="004B3F7C"/>
    <w:rsid w:val="004B45BD"/>
    <w:rsid w:val="004B4B8D"/>
    <w:rsid w:val="004B5789"/>
    <w:rsid w:val="004B59BC"/>
    <w:rsid w:val="004B680C"/>
    <w:rsid w:val="004C0645"/>
    <w:rsid w:val="004C0E94"/>
    <w:rsid w:val="004C12D1"/>
    <w:rsid w:val="004C1559"/>
    <w:rsid w:val="004C23C0"/>
    <w:rsid w:val="004C3280"/>
    <w:rsid w:val="004C50CD"/>
    <w:rsid w:val="004C74AE"/>
    <w:rsid w:val="004D01F6"/>
    <w:rsid w:val="004D0278"/>
    <w:rsid w:val="004D1716"/>
    <w:rsid w:val="004D359C"/>
    <w:rsid w:val="004D5123"/>
    <w:rsid w:val="004D5C37"/>
    <w:rsid w:val="004D6D79"/>
    <w:rsid w:val="004D6E8F"/>
    <w:rsid w:val="004D72C2"/>
    <w:rsid w:val="004D73D3"/>
    <w:rsid w:val="004E15EF"/>
    <w:rsid w:val="004E1F15"/>
    <w:rsid w:val="004E3D60"/>
    <w:rsid w:val="004E4AA1"/>
    <w:rsid w:val="004E53BC"/>
    <w:rsid w:val="004E563F"/>
    <w:rsid w:val="004E56EB"/>
    <w:rsid w:val="004E5970"/>
    <w:rsid w:val="004E5D07"/>
    <w:rsid w:val="004E5F08"/>
    <w:rsid w:val="004E67B9"/>
    <w:rsid w:val="004E72F8"/>
    <w:rsid w:val="004E7C50"/>
    <w:rsid w:val="004E7D61"/>
    <w:rsid w:val="004F38A7"/>
    <w:rsid w:val="004F40D4"/>
    <w:rsid w:val="004F5E1E"/>
    <w:rsid w:val="004F5F93"/>
    <w:rsid w:val="004F6E08"/>
    <w:rsid w:val="004F7112"/>
    <w:rsid w:val="004F78CF"/>
    <w:rsid w:val="00500773"/>
    <w:rsid w:val="00501175"/>
    <w:rsid w:val="00504610"/>
    <w:rsid w:val="00504BD7"/>
    <w:rsid w:val="00506579"/>
    <w:rsid w:val="00507D5E"/>
    <w:rsid w:val="00507FD4"/>
    <w:rsid w:val="00510FD0"/>
    <w:rsid w:val="005117AB"/>
    <w:rsid w:val="00511E35"/>
    <w:rsid w:val="00513653"/>
    <w:rsid w:val="00513C81"/>
    <w:rsid w:val="005164C1"/>
    <w:rsid w:val="00517F8B"/>
    <w:rsid w:val="0052231F"/>
    <w:rsid w:val="00527C95"/>
    <w:rsid w:val="005302A3"/>
    <w:rsid w:val="00531A9B"/>
    <w:rsid w:val="00531C95"/>
    <w:rsid w:val="00532873"/>
    <w:rsid w:val="00536A72"/>
    <w:rsid w:val="00536B1B"/>
    <w:rsid w:val="00537787"/>
    <w:rsid w:val="005378B6"/>
    <w:rsid w:val="00540D4E"/>
    <w:rsid w:val="0054182E"/>
    <w:rsid w:val="005419B7"/>
    <w:rsid w:val="00541FF6"/>
    <w:rsid w:val="0054257C"/>
    <w:rsid w:val="00544071"/>
    <w:rsid w:val="00545F46"/>
    <w:rsid w:val="005475F3"/>
    <w:rsid w:val="00547654"/>
    <w:rsid w:val="005476FA"/>
    <w:rsid w:val="00547880"/>
    <w:rsid w:val="00547D1B"/>
    <w:rsid w:val="00547E58"/>
    <w:rsid w:val="00550519"/>
    <w:rsid w:val="0055148C"/>
    <w:rsid w:val="00552274"/>
    <w:rsid w:val="00552F47"/>
    <w:rsid w:val="00554B75"/>
    <w:rsid w:val="00554C46"/>
    <w:rsid w:val="00562019"/>
    <w:rsid w:val="005623F8"/>
    <w:rsid w:val="00563461"/>
    <w:rsid w:val="00563A08"/>
    <w:rsid w:val="00563FB2"/>
    <w:rsid w:val="00565774"/>
    <w:rsid w:val="00565AC1"/>
    <w:rsid w:val="00565C62"/>
    <w:rsid w:val="00566982"/>
    <w:rsid w:val="00567382"/>
    <w:rsid w:val="005676F4"/>
    <w:rsid w:val="005677E8"/>
    <w:rsid w:val="00567D22"/>
    <w:rsid w:val="005703B8"/>
    <w:rsid w:val="005707C4"/>
    <w:rsid w:val="00572510"/>
    <w:rsid w:val="005733F3"/>
    <w:rsid w:val="005736E4"/>
    <w:rsid w:val="00574C83"/>
    <w:rsid w:val="00575041"/>
    <w:rsid w:val="00575202"/>
    <w:rsid w:val="00577EBD"/>
    <w:rsid w:val="00580FB8"/>
    <w:rsid w:val="0058204E"/>
    <w:rsid w:val="00582277"/>
    <w:rsid w:val="0058362F"/>
    <w:rsid w:val="005852A3"/>
    <w:rsid w:val="00587161"/>
    <w:rsid w:val="00587433"/>
    <w:rsid w:val="00591115"/>
    <w:rsid w:val="00593A55"/>
    <w:rsid w:val="005959FB"/>
    <w:rsid w:val="00595D8F"/>
    <w:rsid w:val="00597047"/>
    <w:rsid w:val="0059763C"/>
    <w:rsid w:val="005A1077"/>
    <w:rsid w:val="005A2101"/>
    <w:rsid w:val="005A2541"/>
    <w:rsid w:val="005A3DDB"/>
    <w:rsid w:val="005A4CCF"/>
    <w:rsid w:val="005A6040"/>
    <w:rsid w:val="005B0D65"/>
    <w:rsid w:val="005B1140"/>
    <w:rsid w:val="005B22B4"/>
    <w:rsid w:val="005B3D3F"/>
    <w:rsid w:val="005B4586"/>
    <w:rsid w:val="005B4741"/>
    <w:rsid w:val="005B5EC8"/>
    <w:rsid w:val="005B78E0"/>
    <w:rsid w:val="005B7F5A"/>
    <w:rsid w:val="005C15E9"/>
    <w:rsid w:val="005C19FC"/>
    <w:rsid w:val="005C382E"/>
    <w:rsid w:val="005C38D9"/>
    <w:rsid w:val="005C4376"/>
    <w:rsid w:val="005C55FA"/>
    <w:rsid w:val="005C67EE"/>
    <w:rsid w:val="005C6CE0"/>
    <w:rsid w:val="005C6E9C"/>
    <w:rsid w:val="005D2535"/>
    <w:rsid w:val="005D32D4"/>
    <w:rsid w:val="005D3894"/>
    <w:rsid w:val="005D42F1"/>
    <w:rsid w:val="005D4C25"/>
    <w:rsid w:val="005D5EEE"/>
    <w:rsid w:val="005D6F0C"/>
    <w:rsid w:val="005D7492"/>
    <w:rsid w:val="005D7BC1"/>
    <w:rsid w:val="005E0820"/>
    <w:rsid w:val="005E0BBE"/>
    <w:rsid w:val="005E36FD"/>
    <w:rsid w:val="005E481F"/>
    <w:rsid w:val="005E4ECD"/>
    <w:rsid w:val="005E623C"/>
    <w:rsid w:val="005E7FDE"/>
    <w:rsid w:val="005F15A0"/>
    <w:rsid w:val="005F19C5"/>
    <w:rsid w:val="005F20EE"/>
    <w:rsid w:val="005F27DA"/>
    <w:rsid w:val="005F34CD"/>
    <w:rsid w:val="005F44CA"/>
    <w:rsid w:val="00600086"/>
    <w:rsid w:val="0060051E"/>
    <w:rsid w:val="0060091D"/>
    <w:rsid w:val="00600C69"/>
    <w:rsid w:val="006016BF"/>
    <w:rsid w:val="00601BB2"/>
    <w:rsid w:val="00601D04"/>
    <w:rsid w:val="00601D1E"/>
    <w:rsid w:val="00602ACE"/>
    <w:rsid w:val="006033B6"/>
    <w:rsid w:val="0060342B"/>
    <w:rsid w:val="006069B1"/>
    <w:rsid w:val="00606C39"/>
    <w:rsid w:val="00607174"/>
    <w:rsid w:val="006071A4"/>
    <w:rsid w:val="00607635"/>
    <w:rsid w:val="00610336"/>
    <w:rsid w:val="00610517"/>
    <w:rsid w:val="006106A6"/>
    <w:rsid w:val="006121AF"/>
    <w:rsid w:val="006124EE"/>
    <w:rsid w:val="006125A5"/>
    <w:rsid w:val="0061307C"/>
    <w:rsid w:val="00613E90"/>
    <w:rsid w:val="006141C4"/>
    <w:rsid w:val="00615442"/>
    <w:rsid w:val="00616233"/>
    <w:rsid w:val="006163D1"/>
    <w:rsid w:val="00617108"/>
    <w:rsid w:val="00617310"/>
    <w:rsid w:val="0062042C"/>
    <w:rsid w:val="00620AE8"/>
    <w:rsid w:val="006233E1"/>
    <w:rsid w:val="00625BCE"/>
    <w:rsid w:val="0062600A"/>
    <w:rsid w:val="0063085C"/>
    <w:rsid w:val="00630A2F"/>
    <w:rsid w:val="00630B26"/>
    <w:rsid w:val="00631DF5"/>
    <w:rsid w:val="006347AA"/>
    <w:rsid w:val="00636C08"/>
    <w:rsid w:val="00637201"/>
    <w:rsid w:val="00637DEE"/>
    <w:rsid w:val="00640794"/>
    <w:rsid w:val="00641626"/>
    <w:rsid w:val="00642E7D"/>
    <w:rsid w:val="006433E1"/>
    <w:rsid w:val="0064356B"/>
    <w:rsid w:val="00643DDA"/>
    <w:rsid w:val="00643F75"/>
    <w:rsid w:val="00644074"/>
    <w:rsid w:val="00644A65"/>
    <w:rsid w:val="006457E5"/>
    <w:rsid w:val="00647AED"/>
    <w:rsid w:val="00650AE3"/>
    <w:rsid w:val="00651C74"/>
    <w:rsid w:val="00651DDB"/>
    <w:rsid w:val="0065303F"/>
    <w:rsid w:val="00653C9C"/>
    <w:rsid w:val="00653E56"/>
    <w:rsid w:val="00654380"/>
    <w:rsid w:val="00654443"/>
    <w:rsid w:val="00655551"/>
    <w:rsid w:val="00656210"/>
    <w:rsid w:val="00656C15"/>
    <w:rsid w:val="0066001A"/>
    <w:rsid w:val="00661138"/>
    <w:rsid w:val="00661532"/>
    <w:rsid w:val="00663890"/>
    <w:rsid w:val="00663E4B"/>
    <w:rsid w:val="0066637D"/>
    <w:rsid w:val="00666A0A"/>
    <w:rsid w:val="00671274"/>
    <w:rsid w:val="00671E26"/>
    <w:rsid w:val="00672057"/>
    <w:rsid w:val="00672734"/>
    <w:rsid w:val="0067491A"/>
    <w:rsid w:val="0067521A"/>
    <w:rsid w:val="00675814"/>
    <w:rsid w:val="006759D6"/>
    <w:rsid w:val="00675A4F"/>
    <w:rsid w:val="00676299"/>
    <w:rsid w:val="006762B2"/>
    <w:rsid w:val="006763C9"/>
    <w:rsid w:val="0068292B"/>
    <w:rsid w:val="00682C43"/>
    <w:rsid w:val="006834B2"/>
    <w:rsid w:val="00683650"/>
    <w:rsid w:val="00683E40"/>
    <w:rsid w:val="00684878"/>
    <w:rsid w:val="00684C34"/>
    <w:rsid w:val="00686A96"/>
    <w:rsid w:val="00690EAC"/>
    <w:rsid w:val="00692BC0"/>
    <w:rsid w:val="006934E0"/>
    <w:rsid w:val="0069362E"/>
    <w:rsid w:val="00694818"/>
    <w:rsid w:val="0069524E"/>
    <w:rsid w:val="00695393"/>
    <w:rsid w:val="006956B7"/>
    <w:rsid w:val="00696310"/>
    <w:rsid w:val="0069733F"/>
    <w:rsid w:val="006A0196"/>
    <w:rsid w:val="006A0551"/>
    <w:rsid w:val="006A199E"/>
    <w:rsid w:val="006A2951"/>
    <w:rsid w:val="006A2D12"/>
    <w:rsid w:val="006A3665"/>
    <w:rsid w:val="006A38EB"/>
    <w:rsid w:val="006A5E07"/>
    <w:rsid w:val="006A6E8F"/>
    <w:rsid w:val="006B0332"/>
    <w:rsid w:val="006B13C8"/>
    <w:rsid w:val="006B245E"/>
    <w:rsid w:val="006B2888"/>
    <w:rsid w:val="006B2E87"/>
    <w:rsid w:val="006B4107"/>
    <w:rsid w:val="006B5530"/>
    <w:rsid w:val="006B5C0E"/>
    <w:rsid w:val="006B7BD5"/>
    <w:rsid w:val="006C0C66"/>
    <w:rsid w:val="006C2A39"/>
    <w:rsid w:val="006C4FE7"/>
    <w:rsid w:val="006C64AE"/>
    <w:rsid w:val="006C6558"/>
    <w:rsid w:val="006D0933"/>
    <w:rsid w:val="006D1348"/>
    <w:rsid w:val="006D3691"/>
    <w:rsid w:val="006D36D3"/>
    <w:rsid w:val="006D4A29"/>
    <w:rsid w:val="006D4AFB"/>
    <w:rsid w:val="006D4F36"/>
    <w:rsid w:val="006D6703"/>
    <w:rsid w:val="006D6836"/>
    <w:rsid w:val="006D752F"/>
    <w:rsid w:val="006E0B51"/>
    <w:rsid w:val="006E12CC"/>
    <w:rsid w:val="006E1507"/>
    <w:rsid w:val="006E15E2"/>
    <w:rsid w:val="006E329A"/>
    <w:rsid w:val="006E42BC"/>
    <w:rsid w:val="006E5ABB"/>
    <w:rsid w:val="006E5BB2"/>
    <w:rsid w:val="006E68A3"/>
    <w:rsid w:val="006E7B9D"/>
    <w:rsid w:val="006F18A6"/>
    <w:rsid w:val="006F204C"/>
    <w:rsid w:val="006F2F33"/>
    <w:rsid w:val="006F3554"/>
    <w:rsid w:val="006F3CFA"/>
    <w:rsid w:val="006F6DDF"/>
    <w:rsid w:val="006F71F9"/>
    <w:rsid w:val="00700B01"/>
    <w:rsid w:val="00702175"/>
    <w:rsid w:val="007021D7"/>
    <w:rsid w:val="0070291F"/>
    <w:rsid w:val="00704D8D"/>
    <w:rsid w:val="0070560B"/>
    <w:rsid w:val="0071020A"/>
    <w:rsid w:val="0071129D"/>
    <w:rsid w:val="00713298"/>
    <w:rsid w:val="007138DF"/>
    <w:rsid w:val="00715249"/>
    <w:rsid w:val="00715EC5"/>
    <w:rsid w:val="00716677"/>
    <w:rsid w:val="007169DC"/>
    <w:rsid w:val="00717538"/>
    <w:rsid w:val="0072082C"/>
    <w:rsid w:val="00720EBA"/>
    <w:rsid w:val="00721492"/>
    <w:rsid w:val="007221F8"/>
    <w:rsid w:val="007246CE"/>
    <w:rsid w:val="00724873"/>
    <w:rsid w:val="00724C72"/>
    <w:rsid w:val="007262FA"/>
    <w:rsid w:val="007267D5"/>
    <w:rsid w:val="00726B80"/>
    <w:rsid w:val="00730400"/>
    <w:rsid w:val="007305E3"/>
    <w:rsid w:val="00731599"/>
    <w:rsid w:val="00732B49"/>
    <w:rsid w:val="007338C0"/>
    <w:rsid w:val="00733B0F"/>
    <w:rsid w:val="007368B7"/>
    <w:rsid w:val="007409DE"/>
    <w:rsid w:val="00740CDD"/>
    <w:rsid w:val="007417F0"/>
    <w:rsid w:val="00741CA3"/>
    <w:rsid w:val="00742AFC"/>
    <w:rsid w:val="00742B8E"/>
    <w:rsid w:val="00742E30"/>
    <w:rsid w:val="0074389E"/>
    <w:rsid w:val="00743BA9"/>
    <w:rsid w:val="00746C9F"/>
    <w:rsid w:val="00751938"/>
    <w:rsid w:val="00752C79"/>
    <w:rsid w:val="00752CC3"/>
    <w:rsid w:val="007538E2"/>
    <w:rsid w:val="00753A50"/>
    <w:rsid w:val="00754216"/>
    <w:rsid w:val="00754F41"/>
    <w:rsid w:val="00755837"/>
    <w:rsid w:val="0075689B"/>
    <w:rsid w:val="00757A27"/>
    <w:rsid w:val="00757DE7"/>
    <w:rsid w:val="0076103F"/>
    <w:rsid w:val="007617A5"/>
    <w:rsid w:val="00761815"/>
    <w:rsid w:val="00762FE8"/>
    <w:rsid w:val="007642DD"/>
    <w:rsid w:val="007646C8"/>
    <w:rsid w:val="00765153"/>
    <w:rsid w:val="00770C3D"/>
    <w:rsid w:val="00771D09"/>
    <w:rsid w:val="0077259F"/>
    <w:rsid w:val="00772A46"/>
    <w:rsid w:val="0077352D"/>
    <w:rsid w:val="00773700"/>
    <w:rsid w:val="007738A5"/>
    <w:rsid w:val="00773A02"/>
    <w:rsid w:val="0077545C"/>
    <w:rsid w:val="0077596B"/>
    <w:rsid w:val="007761DE"/>
    <w:rsid w:val="00776EBD"/>
    <w:rsid w:val="0078040E"/>
    <w:rsid w:val="00780BE0"/>
    <w:rsid w:val="007820BF"/>
    <w:rsid w:val="0078294C"/>
    <w:rsid w:val="00782C0A"/>
    <w:rsid w:val="00784648"/>
    <w:rsid w:val="00785263"/>
    <w:rsid w:val="00785348"/>
    <w:rsid w:val="007853E7"/>
    <w:rsid w:val="00785D56"/>
    <w:rsid w:val="00786C85"/>
    <w:rsid w:val="00787907"/>
    <w:rsid w:val="00790028"/>
    <w:rsid w:val="00790375"/>
    <w:rsid w:val="00791672"/>
    <w:rsid w:val="00792D96"/>
    <w:rsid w:val="00793A52"/>
    <w:rsid w:val="00793DF3"/>
    <w:rsid w:val="0079577C"/>
    <w:rsid w:val="00795B9A"/>
    <w:rsid w:val="00796C01"/>
    <w:rsid w:val="00797756"/>
    <w:rsid w:val="007A1B27"/>
    <w:rsid w:val="007A2379"/>
    <w:rsid w:val="007A4080"/>
    <w:rsid w:val="007A4B58"/>
    <w:rsid w:val="007A4DAC"/>
    <w:rsid w:val="007A5394"/>
    <w:rsid w:val="007A58D4"/>
    <w:rsid w:val="007A5D3B"/>
    <w:rsid w:val="007A6DE7"/>
    <w:rsid w:val="007A742A"/>
    <w:rsid w:val="007A7E41"/>
    <w:rsid w:val="007A7E4B"/>
    <w:rsid w:val="007B046E"/>
    <w:rsid w:val="007B0BC9"/>
    <w:rsid w:val="007B20F9"/>
    <w:rsid w:val="007B2CF1"/>
    <w:rsid w:val="007B5243"/>
    <w:rsid w:val="007B52CC"/>
    <w:rsid w:val="007B66A4"/>
    <w:rsid w:val="007B7286"/>
    <w:rsid w:val="007B7871"/>
    <w:rsid w:val="007C0D09"/>
    <w:rsid w:val="007C1161"/>
    <w:rsid w:val="007C328D"/>
    <w:rsid w:val="007C3CC3"/>
    <w:rsid w:val="007C4F63"/>
    <w:rsid w:val="007C55B7"/>
    <w:rsid w:val="007C7E10"/>
    <w:rsid w:val="007D00B2"/>
    <w:rsid w:val="007D2125"/>
    <w:rsid w:val="007D3862"/>
    <w:rsid w:val="007D3E67"/>
    <w:rsid w:val="007D466C"/>
    <w:rsid w:val="007D4CAF"/>
    <w:rsid w:val="007D695D"/>
    <w:rsid w:val="007D747B"/>
    <w:rsid w:val="007E1C72"/>
    <w:rsid w:val="007E2C29"/>
    <w:rsid w:val="007E317D"/>
    <w:rsid w:val="007E34FB"/>
    <w:rsid w:val="007E3506"/>
    <w:rsid w:val="007E3A7B"/>
    <w:rsid w:val="007E3FB2"/>
    <w:rsid w:val="007E41AB"/>
    <w:rsid w:val="007E6F57"/>
    <w:rsid w:val="007F0945"/>
    <w:rsid w:val="007F15AE"/>
    <w:rsid w:val="007F3DBB"/>
    <w:rsid w:val="007F3F26"/>
    <w:rsid w:val="007F4077"/>
    <w:rsid w:val="007F4C47"/>
    <w:rsid w:val="007F6C74"/>
    <w:rsid w:val="007F6E42"/>
    <w:rsid w:val="008013EE"/>
    <w:rsid w:val="0080171F"/>
    <w:rsid w:val="008027D7"/>
    <w:rsid w:val="008031A4"/>
    <w:rsid w:val="008036B9"/>
    <w:rsid w:val="00803EB8"/>
    <w:rsid w:val="00805582"/>
    <w:rsid w:val="0080618B"/>
    <w:rsid w:val="00806965"/>
    <w:rsid w:val="00810A78"/>
    <w:rsid w:val="00810EB4"/>
    <w:rsid w:val="0081185A"/>
    <w:rsid w:val="0081259D"/>
    <w:rsid w:val="00813600"/>
    <w:rsid w:val="00814092"/>
    <w:rsid w:val="00814431"/>
    <w:rsid w:val="00814AD0"/>
    <w:rsid w:val="00814B74"/>
    <w:rsid w:val="00815D6D"/>
    <w:rsid w:val="00816DB9"/>
    <w:rsid w:val="00817498"/>
    <w:rsid w:val="0081763C"/>
    <w:rsid w:val="008177E1"/>
    <w:rsid w:val="00817AE6"/>
    <w:rsid w:val="0082046C"/>
    <w:rsid w:val="0082060B"/>
    <w:rsid w:val="008218D4"/>
    <w:rsid w:val="00822581"/>
    <w:rsid w:val="00822C72"/>
    <w:rsid w:val="00822DC1"/>
    <w:rsid w:val="00825459"/>
    <w:rsid w:val="00825620"/>
    <w:rsid w:val="0082563B"/>
    <w:rsid w:val="008258A1"/>
    <w:rsid w:val="008265C2"/>
    <w:rsid w:val="00827B7B"/>
    <w:rsid w:val="0083079C"/>
    <w:rsid w:val="00831351"/>
    <w:rsid w:val="0083158B"/>
    <w:rsid w:val="00831598"/>
    <w:rsid w:val="00833C47"/>
    <w:rsid w:val="0083567A"/>
    <w:rsid w:val="0083684D"/>
    <w:rsid w:val="008379D2"/>
    <w:rsid w:val="00840396"/>
    <w:rsid w:val="008406B9"/>
    <w:rsid w:val="00841F61"/>
    <w:rsid w:val="008427A1"/>
    <w:rsid w:val="00843B78"/>
    <w:rsid w:val="0084503B"/>
    <w:rsid w:val="008453BD"/>
    <w:rsid w:val="00845E34"/>
    <w:rsid w:val="008465DE"/>
    <w:rsid w:val="00846BA3"/>
    <w:rsid w:val="008473E7"/>
    <w:rsid w:val="00847DB1"/>
    <w:rsid w:val="00850727"/>
    <w:rsid w:val="00850AEF"/>
    <w:rsid w:val="00850C99"/>
    <w:rsid w:val="008510FD"/>
    <w:rsid w:val="00853F6E"/>
    <w:rsid w:val="008550DD"/>
    <w:rsid w:val="008554A2"/>
    <w:rsid w:val="00856B6D"/>
    <w:rsid w:val="00860334"/>
    <w:rsid w:val="0086124C"/>
    <w:rsid w:val="008617BB"/>
    <w:rsid w:val="00863310"/>
    <w:rsid w:val="00866CB4"/>
    <w:rsid w:val="00866E29"/>
    <w:rsid w:val="00867D4B"/>
    <w:rsid w:val="0087126E"/>
    <w:rsid w:val="0087166D"/>
    <w:rsid w:val="00872BE4"/>
    <w:rsid w:val="00873D4A"/>
    <w:rsid w:val="00875AA9"/>
    <w:rsid w:val="00875DE2"/>
    <w:rsid w:val="00875FE3"/>
    <w:rsid w:val="00877C1D"/>
    <w:rsid w:val="00877E45"/>
    <w:rsid w:val="00880FDB"/>
    <w:rsid w:val="00881BA7"/>
    <w:rsid w:val="0088230B"/>
    <w:rsid w:val="00883A42"/>
    <w:rsid w:val="00884978"/>
    <w:rsid w:val="008859F4"/>
    <w:rsid w:val="00885B51"/>
    <w:rsid w:val="00885DA1"/>
    <w:rsid w:val="008864BA"/>
    <w:rsid w:val="0088652A"/>
    <w:rsid w:val="00887CC5"/>
    <w:rsid w:val="008906B0"/>
    <w:rsid w:val="00890A85"/>
    <w:rsid w:val="00891470"/>
    <w:rsid w:val="0089170E"/>
    <w:rsid w:val="008930F0"/>
    <w:rsid w:val="00894072"/>
    <w:rsid w:val="008950CB"/>
    <w:rsid w:val="008966D0"/>
    <w:rsid w:val="00896E9D"/>
    <w:rsid w:val="00897418"/>
    <w:rsid w:val="008A037D"/>
    <w:rsid w:val="008A2D24"/>
    <w:rsid w:val="008A4365"/>
    <w:rsid w:val="008A44E6"/>
    <w:rsid w:val="008A5542"/>
    <w:rsid w:val="008A5C8A"/>
    <w:rsid w:val="008A60E4"/>
    <w:rsid w:val="008A6BD6"/>
    <w:rsid w:val="008A778D"/>
    <w:rsid w:val="008A7B01"/>
    <w:rsid w:val="008B04D7"/>
    <w:rsid w:val="008B079E"/>
    <w:rsid w:val="008B0E36"/>
    <w:rsid w:val="008B2015"/>
    <w:rsid w:val="008B29C9"/>
    <w:rsid w:val="008B3D74"/>
    <w:rsid w:val="008B4DC7"/>
    <w:rsid w:val="008C04AC"/>
    <w:rsid w:val="008C19CE"/>
    <w:rsid w:val="008C26CD"/>
    <w:rsid w:val="008C412C"/>
    <w:rsid w:val="008C4821"/>
    <w:rsid w:val="008C6631"/>
    <w:rsid w:val="008C6E0A"/>
    <w:rsid w:val="008C7BF0"/>
    <w:rsid w:val="008C7D55"/>
    <w:rsid w:val="008D021F"/>
    <w:rsid w:val="008D08F3"/>
    <w:rsid w:val="008D0ECB"/>
    <w:rsid w:val="008D211E"/>
    <w:rsid w:val="008D2462"/>
    <w:rsid w:val="008D31DC"/>
    <w:rsid w:val="008D3A20"/>
    <w:rsid w:val="008D5DC5"/>
    <w:rsid w:val="008D5E4F"/>
    <w:rsid w:val="008D62DA"/>
    <w:rsid w:val="008D6561"/>
    <w:rsid w:val="008D70D6"/>
    <w:rsid w:val="008D76BF"/>
    <w:rsid w:val="008E174E"/>
    <w:rsid w:val="008E1BD5"/>
    <w:rsid w:val="008E2C7B"/>
    <w:rsid w:val="008E357E"/>
    <w:rsid w:val="008E3BB3"/>
    <w:rsid w:val="008E48A1"/>
    <w:rsid w:val="008E49BA"/>
    <w:rsid w:val="008E5574"/>
    <w:rsid w:val="008E5F2F"/>
    <w:rsid w:val="008E690D"/>
    <w:rsid w:val="008F0213"/>
    <w:rsid w:val="008F038E"/>
    <w:rsid w:val="008F1955"/>
    <w:rsid w:val="008F4C72"/>
    <w:rsid w:val="008F540B"/>
    <w:rsid w:val="008F5B76"/>
    <w:rsid w:val="008F647F"/>
    <w:rsid w:val="008F69AF"/>
    <w:rsid w:val="008F7B02"/>
    <w:rsid w:val="009009CD"/>
    <w:rsid w:val="00901029"/>
    <w:rsid w:val="00901AEC"/>
    <w:rsid w:val="00902B12"/>
    <w:rsid w:val="00902D02"/>
    <w:rsid w:val="00902D9A"/>
    <w:rsid w:val="009030E2"/>
    <w:rsid w:val="00904F46"/>
    <w:rsid w:val="00905DE7"/>
    <w:rsid w:val="009077F8"/>
    <w:rsid w:val="00910866"/>
    <w:rsid w:val="00912725"/>
    <w:rsid w:val="00912D36"/>
    <w:rsid w:val="009141A6"/>
    <w:rsid w:val="00914618"/>
    <w:rsid w:val="0091521F"/>
    <w:rsid w:val="00915704"/>
    <w:rsid w:val="009165CA"/>
    <w:rsid w:val="009173B7"/>
    <w:rsid w:val="00920B2A"/>
    <w:rsid w:val="00923BDB"/>
    <w:rsid w:val="00923E27"/>
    <w:rsid w:val="009256E1"/>
    <w:rsid w:val="00926088"/>
    <w:rsid w:val="00927A09"/>
    <w:rsid w:val="009309A9"/>
    <w:rsid w:val="0093278F"/>
    <w:rsid w:val="0093454C"/>
    <w:rsid w:val="0093590C"/>
    <w:rsid w:val="00935C83"/>
    <w:rsid w:val="00936E14"/>
    <w:rsid w:val="00940C00"/>
    <w:rsid w:val="00940E27"/>
    <w:rsid w:val="009418C4"/>
    <w:rsid w:val="009437DC"/>
    <w:rsid w:val="009448F0"/>
    <w:rsid w:val="009451DD"/>
    <w:rsid w:val="009455BA"/>
    <w:rsid w:val="00945CBC"/>
    <w:rsid w:val="00945EDA"/>
    <w:rsid w:val="00947643"/>
    <w:rsid w:val="00947769"/>
    <w:rsid w:val="0094796E"/>
    <w:rsid w:val="0095248D"/>
    <w:rsid w:val="00952E0C"/>
    <w:rsid w:val="0095343A"/>
    <w:rsid w:val="00953EC5"/>
    <w:rsid w:val="009545ED"/>
    <w:rsid w:val="009546BC"/>
    <w:rsid w:val="00954B39"/>
    <w:rsid w:val="00954C10"/>
    <w:rsid w:val="00954DE6"/>
    <w:rsid w:val="0095514D"/>
    <w:rsid w:val="0095544C"/>
    <w:rsid w:val="009604F4"/>
    <w:rsid w:val="00962D25"/>
    <w:rsid w:val="00962D3E"/>
    <w:rsid w:val="00963200"/>
    <w:rsid w:val="00963577"/>
    <w:rsid w:val="0096392A"/>
    <w:rsid w:val="00967060"/>
    <w:rsid w:val="00967C2D"/>
    <w:rsid w:val="00970461"/>
    <w:rsid w:val="0097162B"/>
    <w:rsid w:val="00972032"/>
    <w:rsid w:val="0097248E"/>
    <w:rsid w:val="009738A1"/>
    <w:rsid w:val="00974EDF"/>
    <w:rsid w:val="00975C25"/>
    <w:rsid w:val="0097631B"/>
    <w:rsid w:val="0097695F"/>
    <w:rsid w:val="00980105"/>
    <w:rsid w:val="00982177"/>
    <w:rsid w:val="00982A17"/>
    <w:rsid w:val="00982CA3"/>
    <w:rsid w:val="009834C9"/>
    <w:rsid w:val="009836B2"/>
    <w:rsid w:val="00983AF0"/>
    <w:rsid w:val="00983E13"/>
    <w:rsid w:val="00984BB5"/>
    <w:rsid w:val="009857EA"/>
    <w:rsid w:val="00986052"/>
    <w:rsid w:val="00986BDE"/>
    <w:rsid w:val="009901FF"/>
    <w:rsid w:val="00991E4C"/>
    <w:rsid w:val="0099206C"/>
    <w:rsid w:val="0099341D"/>
    <w:rsid w:val="00993D5A"/>
    <w:rsid w:val="009940AD"/>
    <w:rsid w:val="00994EBB"/>
    <w:rsid w:val="00995525"/>
    <w:rsid w:val="00995AC2"/>
    <w:rsid w:val="00995BD2"/>
    <w:rsid w:val="009963FB"/>
    <w:rsid w:val="0099641F"/>
    <w:rsid w:val="00997A5C"/>
    <w:rsid w:val="009A0DD9"/>
    <w:rsid w:val="009A0E9C"/>
    <w:rsid w:val="009A1E62"/>
    <w:rsid w:val="009A23E3"/>
    <w:rsid w:val="009A23F2"/>
    <w:rsid w:val="009A3963"/>
    <w:rsid w:val="009A48C5"/>
    <w:rsid w:val="009A719D"/>
    <w:rsid w:val="009B0319"/>
    <w:rsid w:val="009B1556"/>
    <w:rsid w:val="009B1A12"/>
    <w:rsid w:val="009B1AB6"/>
    <w:rsid w:val="009B2376"/>
    <w:rsid w:val="009B334A"/>
    <w:rsid w:val="009B41D7"/>
    <w:rsid w:val="009B451B"/>
    <w:rsid w:val="009B525E"/>
    <w:rsid w:val="009B7F85"/>
    <w:rsid w:val="009B7FC6"/>
    <w:rsid w:val="009B7FC7"/>
    <w:rsid w:val="009C07F9"/>
    <w:rsid w:val="009C0E77"/>
    <w:rsid w:val="009C2B60"/>
    <w:rsid w:val="009C5366"/>
    <w:rsid w:val="009D1923"/>
    <w:rsid w:val="009D2861"/>
    <w:rsid w:val="009D2A91"/>
    <w:rsid w:val="009D3628"/>
    <w:rsid w:val="009D587F"/>
    <w:rsid w:val="009D5FC0"/>
    <w:rsid w:val="009D654A"/>
    <w:rsid w:val="009D7663"/>
    <w:rsid w:val="009D76EE"/>
    <w:rsid w:val="009E022B"/>
    <w:rsid w:val="009E0526"/>
    <w:rsid w:val="009E1A59"/>
    <w:rsid w:val="009E1A71"/>
    <w:rsid w:val="009E2F23"/>
    <w:rsid w:val="009E35E2"/>
    <w:rsid w:val="009E5057"/>
    <w:rsid w:val="009E5646"/>
    <w:rsid w:val="009E7555"/>
    <w:rsid w:val="009E7D38"/>
    <w:rsid w:val="009F0CBB"/>
    <w:rsid w:val="009F220E"/>
    <w:rsid w:val="009F44F6"/>
    <w:rsid w:val="009F4ED1"/>
    <w:rsid w:val="009F5AD1"/>
    <w:rsid w:val="009F6E23"/>
    <w:rsid w:val="009F7C3B"/>
    <w:rsid w:val="00A00F52"/>
    <w:rsid w:val="00A01F4F"/>
    <w:rsid w:val="00A02264"/>
    <w:rsid w:val="00A02C53"/>
    <w:rsid w:val="00A07FB4"/>
    <w:rsid w:val="00A10A8F"/>
    <w:rsid w:val="00A1176B"/>
    <w:rsid w:val="00A11AF1"/>
    <w:rsid w:val="00A12593"/>
    <w:rsid w:val="00A12D99"/>
    <w:rsid w:val="00A14206"/>
    <w:rsid w:val="00A1444D"/>
    <w:rsid w:val="00A145E0"/>
    <w:rsid w:val="00A14F3B"/>
    <w:rsid w:val="00A15154"/>
    <w:rsid w:val="00A15E09"/>
    <w:rsid w:val="00A1604F"/>
    <w:rsid w:val="00A16CB1"/>
    <w:rsid w:val="00A2050C"/>
    <w:rsid w:val="00A20B25"/>
    <w:rsid w:val="00A22A42"/>
    <w:rsid w:val="00A22E93"/>
    <w:rsid w:val="00A23552"/>
    <w:rsid w:val="00A23791"/>
    <w:rsid w:val="00A23A1F"/>
    <w:rsid w:val="00A241E1"/>
    <w:rsid w:val="00A24217"/>
    <w:rsid w:val="00A24BBA"/>
    <w:rsid w:val="00A256AD"/>
    <w:rsid w:val="00A259C5"/>
    <w:rsid w:val="00A25D61"/>
    <w:rsid w:val="00A301F2"/>
    <w:rsid w:val="00A308DA"/>
    <w:rsid w:val="00A32182"/>
    <w:rsid w:val="00A32780"/>
    <w:rsid w:val="00A32B74"/>
    <w:rsid w:val="00A32EEE"/>
    <w:rsid w:val="00A330B2"/>
    <w:rsid w:val="00A348F8"/>
    <w:rsid w:val="00A354EF"/>
    <w:rsid w:val="00A36038"/>
    <w:rsid w:val="00A36738"/>
    <w:rsid w:val="00A370BB"/>
    <w:rsid w:val="00A379E3"/>
    <w:rsid w:val="00A41712"/>
    <w:rsid w:val="00A42AA3"/>
    <w:rsid w:val="00A42FBE"/>
    <w:rsid w:val="00A4446F"/>
    <w:rsid w:val="00A45738"/>
    <w:rsid w:val="00A52000"/>
    <w:rsid w:val="00A5339E"/>
    <w:rsid w:val="00A54DAE"/>
    <w:rsid w:val="00A55030"/>
    <w:rsid w:val="00A55680"/>
    <w:rsid w:val="00A56181"/>
    <w:rsid w:val="00A566A3"/>
    <w:rsid w:val="00A5718B"/>
    <w:rsid w:val="00A5740C"/>
    <w:rsid w:val="00A6010D"/>
    <w:rsid w:val="00A608BE"/>
    <w:rsid w:val="00A61232"/>
    <w:rsid w:val="00A61720"/>
    <w:rsid w:val="00A62DFD"/>
    <w:rsid w:val="00A634E9"/>
    <w:rsid w:val="00A63A64"/>
    <w:rsid w:val="00A63CBF"/>
    <w:rsid w:val="00A6536F"/>
    <w:rsid w:val="00A656FD"/>
    <w:rsid w:val="00A6594C"/>
    <w:rsid w:val="00A67115"/>
    <w:rsid w:val="00A67380"/>
    <w:rsid w:val="00A709FF"/>
    <w:rsid w:val="00A71178"/>
    <w:rsid w:val="00A7379B"/>
    <w:rsid w:val="00A74CB6"/>
    <w:rsid w:val="00A76E14"/>
    <w:rsid w:val="00A806F4"/>
    <w:rsid w:val="00A8297F"/>
    <w:rsid w:val="00A836D0"/>
    <w:rsid w:val="00A837E4"/>
    <w:rsid w:val="00A84057"/>
    <w:rsid w:val="00A84341"/>
    <w:rsid w:val="00A845A9"/>
    <w:rsid w:val="00A85589"/>
    <w:rsid w:val="00A862D9"/>
    <w:rsid w:val="00A87809"/>
    <w:rsid w:val="00A9297B"/>
    <w:rsid w:val="00A93815"/>
    <w:rsid w:val="00A9413A"/>
    <w:rsid w:val="00A94157"/>
    <w:rsid w:val="00A944CE"/>
    <w:rsid w:val="00A9483F"/>
    <w:rsid w:val="00A95378"/>
    <w:rsid w:val="00A953DF"/>
    <w:rsid w:val="00A95BFF"/>
    <w:rsid w:val="00A96209"/>
    <w:rsid w:val="00A97CE7"/>
    <w:rsid w:val="00AA1B13"/>
    <w:rsid w:val="00AA22EA"/>
    <w:rsid w:val="00AA23E8"/>
    <w:rsid w:val="00AA43FB"/>
    <w:rsid w:val="00AA575F"/>
    <w:rsid w:val="00AA5F00"/>
    <w:rsid w:val="00AA6499"/>
    <w:rsid w:val="00AA67E0"/>
    <w:rsid w:val="00AA6F44"/>
    <w:rsid w:val="00AB0184"/>
    <w:rsid w:val="00AB0C9D"/>
    <w:rsid w:val="00AB1659"/>
    <w:rsid w:val="00AB1864"/>
    <w:rsid w:val="00AB1E7D"/>
    <w:rsid w:val="00AB22E5"/>
    <w:rsid w:val="00AB2AE1"/>
    <w:rsid w:val="00AB35C0"/>
    <w:rsid w:val="00AB3670"/>
    <w:rsid w:val="00AB7B0B"/>
    <w:rsid w:val="00AC091C"/>
    <w:rsid w:val="00AC258B"/>
    <w:rsid w:val="00AC30E6"/>
    <w:rsid w:val="00AC34D0"/>
    <w:rsid w:val="00AC3E62"/>
    <w:rsid w:val="00AC47B9"/>
    <w:rsid w:val="00AC4917"/>
    <w:rsid w:val="00AC602A"/>
    <w:rsid w:val="00AC658C"/>
    <w:rsid w:val="00AD1685"/>
    <w:rsid w:val="00AD18FE"/>
    <w:rsid w:val="00AD3B99"/>
    <w:rsid w:val="00AD3CDF"/>
    <w:rsid w:val="00AD4A6E"/>
    <w:rsid w:val="00AD57F7"/>
    <w:rsid w:val="00AD63FF"/>
    <w:rsid w:val="00AD643F"/>
    <w:rsid w:val="00AD6D54"/>
    <w:rsid w:val="00AD7673"/>
    <w:rsid w:val="00AD7699"/>
    <w:rsid w:val="00AE069B"/>
    <w:rsid w:val="00AE2FE7"/>
    <w:rsid w:val="00AE648E"/>
    <w:rsid w:val="00AE6B76"/>
    <w:rsid w:val="00AE6FAE"/>
    <w:rsid w:val="00AF1E8C"/>
    <w:rsid w:val="00AF2B76"/>
    <w:rsid w:val="00AF39EC"/>
    <w:rsid w:val="00AF4060"/>
    <w:rsid w:val="00AF4A33"/>
    <w:rsid w:val="00AF4A76"/>
    <w:rsid w:val="00AF4C48"/>
    <w:rsid w:val="00AF535F"/>
    <w:rsid w:val="00AF5744"/>
    <w:rsid w:val="00AF676B"/>
    <w:rsid w:val="00AF6AAA"/>
    <w:rsid w:val="00B016EB"/>
    <w:rsid w:val="00B03271"/>
    <w:rsid w:val="00B048C3"/>
    <w:rsid w:val="00B05390"/>
    <w:rsid w:val="00B053D1"/>
    <w:rsid w:val="00B05C1A"/>
    <w:rsid w:val="00B06682"/>
    <w:rsid w:val="00B067C7"/>
    <w:rsid w:val="00B07E85"/>
    <w:rsid w:val="00B12F87"/>
    <w:rsid w:val="00B12FBF"/>
    <w:rsid w:val="00B13F82"/>
    <w:rsid w:val="00B15302"/>
    <w:rsid w:val="00B15315"/>
    <w:rsid w:val="00B15BA5"/>
    <w:rsid w:val="00B161CD"/>
    <w:rsid w:val="00B16B6C"/>
    <w:rsid w:val="00B1783D"/>
    <w:rsid w:val="00B20B7F"/>
    <w:rsid w:val="00B228AB"/>
    <w:rsid w:val="00B24137"/>
    <w:rsid w:val="00B27E83"/>
    <w:rsid w:val="00B317A1"/>
    <w:rsid w:val="00B32607"/>
    <w:rsid w:val="00B32D2A"/>
    <w:rsid w:val="00B33DE3"/>
    <w:rsid w:val="00B357D9"/>
    <w:rsid w:val="00B35EFE"/>
    <w:rsid w:val="00B3657C"/>
    <w:rsid w:val="00B36E4C"/>
    <w:rsid w:val="00B36E5B"/>
    <w:rsid w:val="00B37231"/>
    <w:rsid w:val="00B37E41"/>
    <w:rsid w:val="00B40C0F"/>
    <w:rsid w:val="00B42365"/>
    <w:rsid w:val="00B43314"/>
    <w:rsid w:val="00B441BE"/>
    <w:rsid w:val="00B44387"/>
    <w:rsid w:val="00B468C5"/>
    <w:rsid w:val="00B47EF7"/>
    <w:rsid w:val="00B509E8"/>
    <w:rsid w:val="00B50F72"/>
    <w:rsid w:val="00B51717"/>
    <w:rsid w:val="00B519B2"/>
    <w:rsid w:val="00B54879"/>
    <w:rsid w:val="00B55456"/>
    <w:rsid w:val="00B556DC"/>
    <w:rsid w:val="00B564D2"/>
    <w:rsid w:val="00B5695B"/>
    <w:rsid w:val="00B57E3C"/>
    <w:rsid w:val="00B603B8"/>
    <w:rsid w:val="00B60ED6"/>
    <w:rsid w:val="00B62288"/>
    <w:rsid w:val="00B622A6"/>
    <w:rsid w:val="00B62E61"/>
    <w:rsid w:val="00B630FB"/>
    <w:rsid w:val="00B633E4"/>
    <w:rsid w:val="00B63853"/>
    <w:rsid w:val="00B6603E"/>
    <w:rsid w:val="00B661AC"/>
    <w:rsid w:val="00B67209"/>
    <w:rsid w:val="00B70D00"/>
    <w:rsid w:val="00B71FBA"/>
    <w:rsid w:val="00B73DF4"/>
    <w:rsid w:val="00B75AD6"/>
    <w:rsid w:val="00B7630A"/>
    <w:rsid w:val="00B7653C"/>
    <w:rsid w:val="00B80357"/>
    <w:rsid w:val="00B8168D"/>
    <w:rsid w:val="00B829F5"/>
    <w:rsid w:val="00B82B81"/>
    <w:rsid w:val="00B84745"/>
    <w:rsid w:val="00B84958"/>
    <w:rsid w:val="00B85298"/>
    <w:rsid w:val="00B852E5"/>
    <w:rsid w:val="00B85496"/>
    <w:rsid w:val="00B85C69"/>
    <w:rsid w:val="00B85DC5"/>
    <w:rsid w:val="00B864FA"/>
    <w:rsid w:val="00B86950"/>
    <w:rsid w:val="00B93627"/>
    <w:rsid w:val="00B93DB8"/>
    <w:rsid w:val="00B9457F"/>
    <w:rsid w:val="00B956F2"/>
    <w:rsid w:val="00B97ACC"/>
    <w:rsid w:val="00BA0D15"/>
    <w:rsid w:val="00BA1512"/>
    <w:rsid w:val="00BA29F3"/>
    <w:rsid w:val="00BA3577"/>
    <w:rsid w:val="00BA43C3"/>
    <w:rsid w:val="00BA49BF"/>
    <w:rsid w:val="00BA5755"/>
    <w:rsid w:val="00BA6844"/>
    <w:rsid w:val="00BA6968"/>
    <w:rsid w:val="00BB0B98"/>
    <w:rsid w:val="00BB0E58"/>
    <w:rsid w:val="00BB2C0A"/>
    <w:rsid w:val="00BB34DC"/>
    <w:rsid w:val="00BB356F"/>
    <w:rsid w:val="00BB7803"/>
    <w:rsid w:val="00BB7F4F"/>
    <w:rsid w:val="00BC00B6"/>
    <w:rsid w:val="00BC0181"/>
    <w:rsid w:val="00BC218C"/>
    <w:rsid w:val="00BC3672"/>
    <w:rsid w:val="00BC5598"/>
    <w:rsid w:val="00BC566A"/>
    <w:rsid w:val="00BC6C98"/>
    <w:rsid w:val="00BC7D6C"/>
    <w:rsid w:val="00BC7EB4"/>
    <w:rsid w:val="00BD059F"/>
    <w:rsid w:val="00BD0952"/>
    <w:rsid w:val="00BD178D"/>
    <w:rsid w:val="00BD1D3C"/>
    <w:rsid w:val="00BD1FAE"/>
    <w:rsid w:val="00BD310B"/>
    <w:rsid w:val="00BD3D9B"/>
    <w:rsid w:val="00BD4489"/>
    <w:rsid w:val="00BD52A7"/>
    <w:rsid w:val="00BD58E7"/>
    <w:rsid w:val="00BD5BFF"/>
    <w:rsid w:val="00BD5F50"/>
    <w:rsid w:val="00BD6545"/>
    <w:rsid w:val="00BD7725"/>
    <w:rsid w:val="00BD773B"/>
    <w:rsid w:val="00BD77CA"/>
    <w:rsid w:val="00BD7897"/>
    <w:rsid w:val="00BE0E9D"/>
    <w:rsid w:val="00BE1A64"/>
    <w:rsid w:val="00BE1C45"/>
    <w:rsid w:val="00BE2C3C"/>
    <w:rsid w:val="00BE425C"/>
    <w:rsid w:val="00BE4CE8"/>
    <w:rsid w:val="00BE58CD"/>
    <w:rsid w:val="00BE5AA4"/>
    <w:rsid w:val="00BE5F36"/>
    <w:rsid w:val="00BE6FB3"/>
    <w:rsid w:val="00BE7390"/>
    <w:rsid w:val="00BF0CDB"/>
    <w:rsid w:val="00BF2D41"/>
    <w:rsid w:val="00BF3634"/>
    <w:rsid w:val="00BF3CA8"/>
    <w:rsid w:val="00BF6360"/>
    <w:rsid w:val="00BF771E"/>
    <w:rsid w:val="00BF7F74"/>
    <w:rsid w:val="00C0029B"/>
    <w:rsid w:val="00C00E4B"/>
    <w:rsid w:val="00C01E26"/>
    <w:rsid w:val="00C0280D"/>
    <w:rsid w:val="00C030D1"/>
    <w:rsid w:val="00C04231"/>
    <w:rsid w:val="00C05C96"/>
    <w:rsid w:val="00C06661"/>
    <w:rsid w:val="00C07912"/>
    <w:rsid w:val="00C07996"/>
    <w:rsid w:val="00C109D1"/>
    <w:rsid w:val="00C1170F"/>
    <w:rsid w:val="00C1262A"/>
    <w:rsid w:val="00C128AE"/>
    <w:rsid w:val="00C13415"/>
    <w:rsid w:val="00C134EA"/>
    <w:rsid w:val="00C15792"/>
    <w:rsid w:val="00C158BA"/>
    <w:rsid w:val="00C160C5"/>
    <w:rsid w:val="00C16245"/>
    <w:rsid w:val="00C1627C"/>
    <w:rsid w:val="00C17F02"/>
    <w:rsid w:val="00C20739"/>
    <w:rsid w:val="00C20CB5"/>
    <w:rsid w:val="00C21808"/>
    <w:rsid w:val="00C232DA"/>
    <w:rsid w:val="00C23986"/>
    <w:rsid w:val="00C23C02"/>
    <w:rsid w:val="00C23DE2"/>
    <w:rsid w:val="00C24379"/>
    <w:rsid w:val="00C25153"/>
    <w:rsid w:val="00C26D36"/>
    <w:rsid w:val="00C27567"/>
    <w:rsid w:val="00C308D3"/>
    <w:rsid w:val="00C3098F"/>
    <w:rsid w:val="00C316D5"/>
    <w:rsid w:val="00C3175F"/>
    <w:rsid w:val="00C31792"/>
    <w:rsid w:val="00C328F4"/>
    <w:rsid w:val="00C330FA"/>
    <w:rsid w:val="00C331B6"/>
    <w:rsid w:val="00C33492"/>
    <w:rsid w:val="00C3365B"/>
    <w:rsid w:val="00C34BE1"/>
    <w:rsid w:val="00C35EE0"/>
    <w:rsid w:val="00C378D2"/>
    <w:rsid w:val="00C402B6"/>
    <w:rsid w:val="00C41B36"/>
    <w:rsid w:val="00C42C2D"/>
    <w:rsid w:val="00C43996"/>
    <w:rsid w:val="00C45F09"/>
    <w:rsid w:val="00C46DA6"/>
    <w:rsid w:val="00C47B75"/>
    <w:rsid w:val="00C51E08"/>
    <w:rsid w:val="00C52B93"/>
    <w:rsid w:val="00C54FF4"/>
    <w:rsid w:val="00C55013"/>
    <w:rsid w:val="00C56B47"/>
    <w:rsid w:val="00C5734D"/>
    <w:rsid w:val="00C57413"/>
    <w:rsid w:val="00C60152"/>
    <w:rsid w:val="00C60391"/>
    <w:rsid w:val="00C61A35"/>
    <w:rsid w:val="00C6213A"/>
    <w:rsid w:val="00C62D39"/>
    <w:rsid w:val="00C644C2"/>
    <w:rsid w:val="00C647B6"/>
    <w:rsid w:val="00C649DA"/>
    <w:rsid w:val="00C64B4C"/>
    <w:rsid w:val="00C6546A"/>
    <w:rsid w:val="00C70CF3"/>
    <w:rsid w:val="00C721A0"/>
    <w:rsid w:val="00C75762"/>
    <w:rsid w:val="00C75857"/>
    <w:rsid w:val="00C76314"/>
    <w:rsid w:val="00C76DE9"/>
    <w:rsid w:val="00C77508"/>
    <w:rsid w:val="00C80829"/>
    <w:rsid w:val="00C81E28"/>
    <w:rsid w:val="00C82E8C"/>
    <w:rsid w:val="00C87492"/>
    <w:rsid w:val="00C87B7A"/>
    <w:rsid w:val="00C952AB"/>
    <w:rsid w:val="00C9581E"/>
    <w:rsid w:val="00C96961"/>
    <w:rsid w:val="00C96EFA"/>
    <w:rsid w:val="00C97C30"/>
    <w:rsid w:val="00CA108E"/>
    <w:rsid w:val="00CA1C53"/>
    <w:rsid w:val="00CA2477"/>
    <w:rsid w:val="00CA29EB"/>
    <w:rsid w:val="00CA5712"/>
    <w:rsid w:val="00CA6B58"/>
    <w:rsid w:val="00CB2475"/>
    <w:rsid w:val="00CB26CD"/>
    <w:rsid w:val="00CB2E8D"/>
    <w:rsid w:val="00CB341C"/>
    <w:rsid w:val="00CB4506"/>
    <w:rsid w:val="00CB52D4"/>
    <w:rsid w:val="00CB60F0"/>
    <w:rsid w:val="00CB7314"/>
    <w:rsid w:val="00CC2094"/>
    <w:rsid w:val="00CC2581"/>
    <w:rsid w:val="00CC25D8"/>
    <w:rsid w:val="00CC4960"/>
    <w:rsid w:val="00CC4DD9"/>
    <w:rsid w:val="00CC6117"/>
    <w:rsid w:val="00CC7052"/>
    <w:rsid w:val="00CC707F"/>
    <w:rsid w:val="00CD125A"/>
    <w:rsid w:val="00CD2472"/>
    <w:rsid w:val="00CD2C2C"/>
    <w:rsid w:val="00CD3FC2"/>
    <w:rsid w:val="00CD42DE"/>
    <w:rsid w:val="00CD4E30"/>
    <w:rsid w:val="00CD509C"/>
    <w:rsid w:val="00CD5BD0"/>
    <w:rsid w:val="00CD79DD"/>
    <w:rsid w:val="00CE12A8"/>
    <w:rsid w:val="00CE19FE"/>
    <w:rsid w:val="00CE3256"/>
    <w:rsid w:val="00CE47D5"/>
    <w:rsid w:val="00CE4969"/>
    <w:rsid w:val="00CE68C0"/>
    <w:rsid w:val="00CE6E50"/>
    <w:rsid w:val="00CF1305"/>
    <w:rsid w:val="00CF2BE9"/>
    <w:rsid w:val="00CF2D53"/>
    <w:rsid w:val="00CF4308"/>
    <w:rsid w:val="00CF4D88"/>
    <w:rsid w:val="00CF5ADF"/>
    <w:rsid w:val="00CF79D5"/>
    <w:rsid w:val="00D00C97"/>
    <w:rsid w:val="00D00FB4"/>
    <w:rsid w:val="00D0106A"/>
    <w:rsid w:val="00D0141F"/>
    <w:rsid w:val="00D015C6"/>
    <w:rsid w:val="00D02219"/>
    <w:rsid w:val="00D02AB7"/>
    <w:rsid w:val="00D049C3"/>
    <w:rsid w:val="00D05207"/>
    <w:rsid w:val="00D05EE5"/>
    <w:rsid w:val="00D072E2"/>
    <w:rsid w:val="00D07476"/>
    <w:rsid w:val="00D07CA9"/>
    <w:rsid w:val="00D105A8"/>
    <w:rsid w:val="00D10B99"/>
    <w:rsid w:val="00D10D78"/>
    <w:rsid w:val="00D110BF"/>
    <w:rsid w:val="00D13B20"/>
    <w:rsid w:val="00D15C8B"/>
    <w:rsid w:val="00D16484"/>
    <w:rsid w:val="00D17BC5"/>
    <w:rsid w:val="00D17FC4"/>
    <w:rsid w:val="00D20EF8"/>
    <w:rsid w:val="00D21164"/>
    <w:rsid w:val="00D21392"/>
    <w:rsid w:val="00D22921"/>
    <w:rsid w:val="00D23D62"/>
    <w:rsid w:val="00D266C8"/>
    <w:rsid w:val="00D27151"/>
    <w:rsid w:val="00D27296"/>
    <w:rsid w:val="00D272E0"/>
    <w:rsid w:val="00D30268"/>
    <w:rsid w:val="00D3040E"/>
    <w:rsid w:val="00D3045E"/>
    <w:rsid w:val="00D304C8"/>
    <w:rsid w:val="00D311C0"/>
    <w:rsid w:val="00D31CC3"/>
    <w:rsid w:val="00D32830"/>
    <w:rsid w:val="00D33684"/>
    <w:rsid w:val="00D342EB"/>
    <w:rsid w:val="00D345AC"/>
    <w:rsid w:val="00D3486C"/>
    <w:rsid w:val="00D34E6B"/>
    <w:rsid w:val="00D36CE3"/>
    <w:rsid w:val="00D36DAB"/>
    <w:rsid w:val="00D37F88"/>
    <w:rsid w:val="00D4028F"/>
    <w:rsid w:val="00D4114E"/>
    <w:rsid w:val="00D41312"/>
    <w:rsid w:val="00D41C77"/>
    <w:rsid w:val="00D41DE1"/>
    <w:rsid w:val="00D42491"/>
    <w:rsid w:val="00D437C7"/>
    <w:rsid w:val="00D43E7D"/>
    <w:rsid w:val="00D44F6E"/>
    <w:rsid w:val="00D44FDB"/>
    <w:rsid w:val="00D45F7A"/>
    <w:rsid w:val="00D47D35"/>
    <w:rsid w:val="00D509B5"/>
    <w:rsid w:val="00D50EFB"/>
    <w:rsid w:val="00D51536"/>
    <w:rsid w:val="00D53E64"/>
    <w:rsid w:val="00D54565"/>
    <w:rsid w:val="00D54F51"/>
    <w:rsid w:val="00D557B1"/>
    <w:rsid w:val="00D557FA"/>
    <w:rsid w:val="00D55D5B"/>
    <w:rsid w:val="00D5692E"/>
    <w:rsid w:val="00D610E6"/>
    <w:rsid w:val="00D619A1"/>
    <w:rsid w:val="00D61E1A"/>
    <w:rsid w:val="00D624CD"/>
    <w:rsid w:val="00D62FB7"/>
    <w:rsid w:val="00D635E1"/>
    <w:rsid w:val="00D636CD"/>
    <w:rsid w:val="00D649C7"/>
    <w:rsid w:val="00D675F9"/>
    <w:rsid w:val="00D67697"/>
    <w:rsid w:val="00D7031A"/>
    <w:rsid w:val="00D705C4"/>
    <w:rsid w:val="00D707D2"/>
    <w:rsid w:val="00D70B4E"/>
    <w:rsid w:val="00D722C6"/>
    <w:rsid w:val="00D732CD"/>
    <w:rsid w:val="00D8023B"/>
    <w:rsid w:val="00D8034D"/>
    <w:rsid w:val="00D80BD2"/>
    <w:rsid w:val="00D815AD"/>
    <w:rsid w:val="00D83292"/>
    <w:rsid w:val="00D836B1"/>
    <w:rsid w:val="00D837FE"/>
    <w:rsid w:val="00D839C8"/>
    <w:rsid w:val="00D84B87"/>
    <w:rsid w:val="00D84BA9"/>
    <w:rsid w:val="00D84DEF"/>
    <w:rsid w:val="00D85DC2"/>
    <w:rsid w:val="00D86772"/>
    <w:rsid w:val="00D87A3E"/>
    <w:rsid w:val="00D90A49"/>
    <w:rsid w:val="00D922BF"/>
    <w:rsid w:val="00D92B35"/>
    <w:rsid w:val="00D92C83"/>
    <w:rsid w:val="00D93144"/>
    <w:rsid w:val="00D93A20"/>
    <w:rsid w:val="00D957AB"/>
    <w:rsid w:val="00D96413"/>
    <w:rsid w:val="00D969E3"/>
    <w:rsid w:val="00D96FF6"/>
    <w:rsid w:val="00D9732B"/>
    <w:rsid w:val="00D976BC"/>
    <w:rsid w:val="00D9780C"/>
    <w:rsid w:val="00DA0455"/>
    <w:rsid w:val="00DA046F"/>
    <w:rsid w:val="00DA0C8D"/>
    <w:rsid w:val="00DA1E7C"/>
    <w:rsid w:val="00DA25DF"/>
    <w:rsid w:val="00DA2870"/>
    <w:rsid w:val="00DA29A3"/>
    <w:rsid w:val="00DA3F4A"/>
    <w:rsid w:val="00DA56F8"/>
    <w:rsid w:val="00DA6344"/>
    <w:rsid w:val="00DA7082"/>
    <w:rsid w:val="00DA711B"/>
    <w:rsid w:val="00DA7F0F"/>
    <w:rsid w:val="00DB0EB7"/>
    <w:rsid w:val="00DB1831"/>
    <w:rsid w:val="00DB1BFD"/>
    <w:rsid w:val="00DB2317"/>
    <w:rsid w:val="00DB4CA0"/>
    <w:rsid w:val="00DB4CC4"/>
    <w:rsid w:val="00DB593C"/>
    <w:rsid w:val="00DB5DA3"/>
    <w:rsid w:val="00DB6A87"/>
    <w:rsid w:val="00DB6F20"/>
    <w:rsid w:val="00DC05E3"/>
    <w:rsid w:val="00DC0E7F"/>
    <w:rsid w:val="00DC1147"/>
    <w:rsid w:val="00DC20B0"/>
    <w:rsid w:val="00DC2B8E"/>
    <w:rsid w:val="00DC2CAC"/>
    <w:rsid w:val="00DC2E2B"/>
    <w:rsid w:val="00DC3501"/>
    <w:rsid w:val="00DC3F6C"/>
    <w:rsid w:val="00DC499A"/>
    <w:rsid w:val="00DC72AE"/>
    <w:rsid w:val="00DC7D82"/>
    <w:rsid w:val="00DC7FA0"/>
    <w:rsid w:val="00DD0F45"/>
    <w:rsid w:val="00DD1DE2"/>
    <w:rsid w:val="00DD1E14"/>
    <w:rsid w:val="00DD2D96"/>
    <w:rsid w:val="00DD3194"/>
    <w:rsid w:val="00DD329D"/>
    <w:rsid w:val="00DD454A"/>
    <w:rsid w:val="00DD6DD3"/>
    <w:rsid w:val="00DD71AA"/>
    <w:rsid w:val="00DD73EF"/>
    <w:rsid w:val="00DD78DE"/>
    <w:rsid w:val="00DD79BB"/>
    <w:rsid w:val="00DD7ABF"/>
    <w:rsid w:val="00DD7B09"/>
    <w:rsid w:val="00DE0883"/>
    <w:rsid w:val="00DE0B96"/>
    <w:rsid w:val="00DE12DE"/>
    <w:rsid w:val="00DE13DA"/>
    <w:rsid w:val="00DE2213"/>
    <w:rsid w:val="00DE22B4"/>
    <w:rsid w:val="00DE2711"/>
    <w:rsid w:val="00DE6259"/>
    <w:rsid w:val="00DE75D6"/>
    <w:rsid w:val="00DE798E"/>
    <w:rsid w:val="00DF01AE"/>
    <w:rsid w:val="00DF029E"/>
    <w:rsid w:val="00DF0D75"/>
    <w:rsid w:val="00DF1174"/>
    <w:rsid w:val="00DF1350"/>
    <w:rsid w:val="00DF3A35"/>
    <w:rsid w:val="00DF4710"/>
    <w:rsid w:val="00DF5A85"/>
    <w:rsid w:val="00DF5B5F"/>
    <w:rsid w:val="00E00016"/>
    <w:rsid w:val="00E00728"/>
    <w:rsid w:val="00E00739"/>
    <w:rsid w:val="00E02033"/>
    <w:rsid w:val="00E02753"/>
    <w:rsid w:val="00E0329D"/>
    <w:rsid w:val="00E03B2A"/>
    <w:rsid w:val="00E06223"/>
    <w:rsid w:val="00E06413"/>
    <w:rsid w:val="00E102E7"/>
    <w:rsid w:val="00E1040F"/>
    <w:rsid w:val="00E117E7"/>
    <w:rsid w:val="00E131DF"/>
    <w:rsid w:val="00E13250"/>
    <w:rsid w:val="00E138BC"/>
    <w:rsid w:val="00E13CF9"/>
    <w:rsid w:val="00E15A80"/>
    <w:rsid w:val="00E15E3D"/>
    <w:rsid w:val="00E216A3"/>
    <w:rsid w:val="00E2307B"/>
    <w:rsid w:val="00E23BA5"/>
    <w:rsid w:val="00E26C1D"/>
    <w:rsid w:val="00E27F92"/>
    <w:rsid w:val="00E32405"/>
    <w:rsid w:val="00E331DF"/>
    <w:rsid w:val="00E3349A"/>
    <w:rsid w:val="00E34B99"/>
    <w:rsid w:val="00E34EB0"/>
    <w:rsid w:val="00E35024"/>
    <w:rsid w:val="00E364AA"/>
    <w:rsid w:val="00E40F26"/>
    <w:rsid w:val="00E43AB5"/>
    <w:rsid w:val="00E43F7A"/>
    <w:rsid w:val="00E44719"/>
    <w:rsid w:val="00E44A63"/>
    <w:rsid w:val="00E44FD5"/>
    <w:rsid w:val="00E45508"/>
    <w:rsid w:val="00E47789"/>
    <w:rsid w:val="00E47DA5"/>
    <w:rsid w:val="00E51AFC"/>
    <w:rsid w:val="00E5266C"/>
    <w:rsid w:val="00E53D96"/>
    <w:rsid w:val="00E5407E"/>
    <w:rsid w:val="00E5420C"/>
    <w:rsid w:val="00E54B9E"/>
    <w:rsid w:val="00E558E4"/>
    <w:rsid w:val="00E558F2"/>
    <w:rsid w:val="00E55A64"/>
    <w:rsid w:val="00E572AF"/>
    <w:rsid w:val="00E60040"/>
    <w:rsid w:val="00E6115A"/>
    <w:rsid w:val="00E61287"/>
    <w:rsid w:val="00E61CE5"/>
    <w:rsid w:val="00E62EA1"/>
    <w:rsid w:val="00E634D1"/>
    <w:rsid w:val="00E6358E"/>
    <w:rsid w:val="00E63722"/>
    <w:rsid w:val="00E65010"/>
    <w:rsid w:val="00E671CF"/>
    <w:rsid w:val="00E706CF"/>
    <w:rsid w:val="00E7192A"/>
    <w:rsid w:val="00E71ABF"/>
    <w:rsid w:val="00E71C0C"/>
    <w:rsid w:val="00E7242F"/>
    <w:rsid w:val="00E72A5F"/>
    <w:rsid w:val="00E73D4D"/>
    <w:rsid w:val="00E74729"/>
    <w:rsid w:val="00E74D0A"/>
    <w:rsid w:val="00E74E36"/>
    <w:rsid w:val="00E74EE6"/>
    <w:rsid w:val="00E804A6"/>
    <w:rsid w:val="00E8261D"/>
    <w:rsid w:val="00E853CC"/>
    <w:rsid w:val="00E854E9"/>
    <w:rsid w:val="00E86297"/>
    <w:rsid w:val="00E9029F"/>
    <w:rsid w:val="00E906DD"/>
    <w:rsid w:val="00E90927"/>
    <w:rsid w:val="00E91149"/>
    <w:rsid w:val="00E95977"/>
    <w:rsid w:val="00E97160"/>
    <w:rsid w:val="00E97616"/>
    <w:rsid w:val="00E9766B"/>
    <w:rsid w:val="00EA0B5E"/>
    <w:rsid w:val="00EA371C"/>
    <w:rsid w:val="00EA4210"/>
    <w:rsid w:val="00EA6753"/>
    <w:rsid w:val="00EA7423"/>
    <w:rsid w:val="00EA7DE9"/>
    <w:rsid w:val="00EB06B0"/>
    <w:rsid w:val="00EB18D1"/>
    <w:rsid w:val="00EB2077"/>
    <w:rsid w:val="00EB21FE"/>
    <w:rsid w:val="00EB301F"/>
    <w:rsid w:val="00EB3A0E"/>
    <w:rsid w:val="00EB3CEF"/>
    <w:rsid w:val="00EB4708"/>
    <w:rsid w:val="00EB481D"/>
    <w:rsid w:val="00EB4C49"/>
    <w:rsid w:val="00EB4E94"/>
    <w:rsid w:val="00EB6081"/>
    <w:rsid w:val="00EB6C9C"/>
    <w:rsid w:val="00EB6D08"/>
    <w:rsid w:val="00EB7FA1"/>
    <w:rsid w:val="00EC006F"/>
    <w:rsid w:val="00EC011E"/>
    <w:rsid w:val="00EC1262"/>
    <w:rsid w:val="00EC1ED6"/>
    <w:rsid w:val="00EC2326"/>
    <w:rsid w:val="00EC30D5"/>
    <w:rsid w:val="00EC3887"/>
    <w:rsid w:val="00EC4256"/>
    <w:rsid w:val="00EC4482"/>
    <w:rsid w:val="00EC49BE"/>
    <w:rsid w:val="00EC4EE8"/>
    <w:rsid w:val="00EC573D"/>
    <w:rsid w:val="00EC57A5"/>
    <w:rsid w:val="00EC6AF5"/>
    <w:rsid w:val="00ED06F0"/>
    <w:rsid w:val="00ED1FD1"/>
    <w:rsid w:val="00ED24AA"/>
    <w:rsid w:val="00ED42B0"/>
    <w:rsid w:val="00ED450B"/>
    <w:rsid w:val="00ED4B6E"/>
    <w:rsid w:val="00ED6A86"/>
    <w:rsid w:val="00ED7E69"/>
    <w:rsid w:val="00EE0188"/>
    <w:rsid w:val="00EE20D2"/>
    <w:rsid w:val="00EE26AA"/>
    <w:rsid w:val="00EE45F5"/>
    <w:rsid w:val="00EE4691"/>
    <w:rsid w:val="00EE4AB3"/>
    <w:rsid w:val="00EE589B"/>
    <w:rsid w:val="00EE6DEE"/>
    <w:rsid w:val="00EE7701"/>
    <w:rsid w:val="00EE77D3"/>
    <w:rsid w:val="00EF0045"/>
    <w:rsid w:val="00EF0BE7"/>
    <w:rsid w:val="00EF134A"/>
    <w:rsid w:val="00EF1550"/>
    <w:rsid w:val="00EF3966"/>
    <w:rsid w:val="00EF4966"/>
    <w:rsid w:val="00EF4CCA"/>
    <w:rsid w:val="00EF6E88"/>
    <w:rsid w:val="00F014D4"/>
    <w:rsid w:val="00F02C83"/>
    <w:rsid w:val="00F02D59"/>
    <w:rsid w:val="00F032E7"/>
    <w:rsid w:val="00F0336C"/>
    <w:rsid w:val="00F03708"/>
    <w:rsid w:val="00F06440"/>
    <w:rsid w:val="00F07DD8"/>
    <w:rsid w:val="00F11855"/>
    <w:rsid w:val="00F11F65"/>
    <w:rsid w:val="00F155EB"/>
    <w:rsid w:val="00F15FED"/>
    <w:rsid w:val="00F1681D"/>
    <w:rsid w:val="00F16D91"/>
    <w:rsid w:val="00F23CDC"/>
    <w:rsid w:val="00F251AA"/>
    <w:rsid w:val="00F252B9"/>
    <w:rsid w:val="00F27BA1"/>
    <w:rsid w:val="00F27FB5"/>
    <w:rsid w:val="00F31DEB"/>
    <w:rsid w:val="00F323C9"/>
    <w:rsid w:val="00F32BF4"/>
    <w:rsid w:val="00F34933"/>
    <w:rsid w:val="00F354B3"/>
    <w:rsid w:val="00F360DF"/>
    <w:rsid w:val="00F40227"/>
    <w:rsid w:val="00F40638"/>
    <w:rsid w:val="00F40A9C"/>
    <w:rsid w:val="00F41790"/>
    <w:rsid w:val="00F41FAB"/>
    <w:rsid w:val="00F42868"/>
    <w:rsid w:val="00F43EFB"/>
    <w:rsid w:val="00F44A8F"/>
    <w:rsid w:val="00F4572F"/>
    <w:rsid w:val="00F45767"/>
    <w:rsid w:val="00F45865"/>
    <w:rsid w:val="00F46038"/>
    <w:rsid w:val="00F4667C"/>
    <w:rsid w:val="00F46A9D"/>
    <w:rsid w:val="00F47D34"/>
    <w:rsid w:val="00F502BF"/>
    <w:rsid w:val="00F50366"/>
    <w:rsid w:val="00F5040D"/>
    <w:rsid w:val="00F5052C"/>
    <w:rsid w:val="00F50F8B"/>
    <w:rsid w:val="00F525DF"/>
    <w:rsid w:val="00F52C52"/>
    <w:rsid w:val="00F53F84"/>
    <w:rsid w:val="00F53FFA"/>
    <w:rsid w:val="00F5472A"/>
    <w:rsid w:val="00F54AF8"/>
    <w:rsid w:val="00F56B3A"/>
    <w:rsid w:val="00F60B2D"/>
    <w:rsid w:val="00F63C20"/>
    <w:rsid w:val="00F63DF5"/>
    <w:rsid w:val="00F64524"/>
    <w:rsid w:val="00F64FD2"/>
    <w:rsid w:val="00F655CC"/>
    <w:rsid w:val="00F65892"/>
    <w:rsid w:val="00F66DA1"/>
    <w:rsid w:val="00F67360"/>
    <w:rsid w:val="00F6798C"/>
    <w:rsid w:val="00F705D1"/>
    <w:rsid w:val="00F7295D"/>
    <w:rsid w:val="00F72B56"/>
    <w:rsid w:val="00F72BBB"/>
    <w:rsid w:val="00F72D93"/>
    <w:rsid w:val="00F73669"/>
    <w:rsid w:val="00F73689"/>
    <w:rsid w:val="00F75600"/>
    <w:rsid w:val="00F756EB"/>
    <w:rsid w:val="00F7655B"/>
    <w:rsid w:val="00F803A3"/>
    <w:rsid w:val="00F80AF7"/>
    <w:rsid w:val="00F80B81"/>
    <w:rsid w:val="00F80C98"/>
    <w:rsid w:val="00F80E38"/>
    <w:rsid w:val="00F8123F"/>
    <w:rsid w:val="00F812A6"/>
    <w:rsid w:val="00F82FC6"/>
    <w:rsid w:val="00F83890"/>
    <w:rsid w:val="00F83BF2"/>
    <w:rsid w:val="00F84851"/>
    <w:rsid w:val="00F85EEC"/>
    <w:rsid w:val="00F87156"/>
    <w:rsid w:val="00F8745E"/>
    <w:rsid w:val="00F91664"/>
    <w:rsid w:val="00F91DF2"/>
    <w:rsid w:val="00F92627"/>
    <w:rsid w:val="00F92F83"/>
    <w:rsid w:val="00F94285"/>
    <w:rsid w:val="00F94E4D"/>
    <w:rsid w:val="00F955B8"/>
    <w:rsid w:val="00F957DE"/>
    <w:rsid w:val="00F958A2"/>
    <w:rsid w:val="00F95903"/>
    <w:rsid w:val="00F962F2"/>
    <w:rsid w:val="00FA05F5"/>
    <w:rsid w:val="00FA0A15"/>
    <w:rsid w:val="00FA0AB8"/>
    <w:rsid w:val="00FA0AF4"/>
    <w:rsid w:val="00FA1219"/>
    <w:rsid w:val="00FA14E5"/>
    <w:rsid w:val="00FA31F1"/>
    <w:rsid w:val="00FA37A1"/>
    <w:rsid w:val="00FA3F60"/>
    <w:rsid w:val="00FA4660"/>
    <w:rsid w:val="00FA4A6D"/>
    <w:rsid w:val="00FA4FF1"/>
    <w:rsid w:val="00FA5870"/>
    <w:rsid w:val="00FA5915"/>
    <w:rsid w:val="00FA7092"/>
    <w:rsid w:val="00FA744A"/>
    <w:rsid w:val="00FB0F8D"/>
    <w:rsid w:val="00FB19E7"/>
    <w:rsid w:val="00FB400C"/>
    <w:rsid w:val="00FB5286"/>
    <w:rsid w:val="00FB534E"/>
    <w:rsid w:val="00FB5F47"/>
    <w:rsid w:val="00FB60F7"/>
    <w:rsid w:val="00FC0529"/>
    <w:rsid w:val="00FC27DC"/>
    <w:rsid w:val="00FC2CEE"/>
    <w:rsid w:val="00FC2E90"/>
    <w:rsid w:val="00FC3871"/>
    <w:rsid w:val="00FC4734"/>
    <w:rsid w:val="00FC4B69"/>
    <w:rsid w:val="00FC7013"/>
    <w:rsid w:val="00FC79B2"/>
    <w:rsid w:val="00FD1347"/>
    <w:rsid w:val="00FD1B9C"/>
    <w:rsid w:val="00FD29E0"/>
    <w:rsid w:val="00FD2E09"/>
    <w:rsid w:val="00FD2FAE"/>
    <w:rsid w:val="00FD34AB"/>
    <w:rsid w:val="00FD3545"/>
    <w:rsid w:val="00FD41AB"/>
    <w:rsid w:val="00FD707D"/>
    <w:rsid w:val="00FD744B"/>
    <w:rsid w:val="00FE07C1"/>
    <w:rsid w:val="00FE0F2A"/>
    <w:rsid w:val="00FE16E3"/>
    <w:rsid w:val="00FE4578"/>
    <w:rsid w:val="00FE559F"/>
    <w:rsid w:val="00FE5616"/>
    <w:rsid w:val="00FE77A0"/>
    <w:rsid w:val="00FE7D52"/>
    <w:rsid w:val="00FF0946"/>
    <w:rsid w:val="00FF27AF"/>
    <w:rsid w:val="00FF2AF4"/>
    <w:rsid w:val="00FF2E83"/>
    <w:rsid w:val="00FF32E2"/>
    <w:rsid w:val="00FF3424"/>
    <w:rsid w:val="00FF42C4"/>
    <w:rsid w:val="00FF5666"/>
    <w:rsid w:val="00FF65F7"/>
    <w:rsid w:val="0112014C"/>
    <w:rsid w:val="01634A87"/>
    <w:rsid w:val="01EE0B37"/>
    <w:rsid w:val="02134ECE"/>
    <w:rsid w:val="022475FE"/>
    <w:rsid w:val="029B12EA"/>
    <w:rsid w:val="02BB7EFC"/>
    <w:rsid w:val="02F93F34"/>
    <w:rsid w:val="03097B1E"/>
    <w:rsid w:val="03132DE9"/>
    <w:rsid w:val="038D663F"/>
    <w:rsid w:val="03DB1784"/>
    <w:rsid w:val="03EA3844"/>
    <w:rsid w:val="04240C97"/>
    <w:rsid w:val="043624FA"/>
    <w:rsid w:val="043C131B"/>
    <w:rsid w:val="047B7A12"/>
    <w:rsid w:val="049565C2"/>
    <w:rsid w:val="04A20278"/>
    <w:rsid w:val="04BF38B6"/>
    <w:rsid w:val="051752FE"/>
    <w:rsid w:val="053D38E7"/>
    <w:rsid w:val="055E0AF2"/>
    <w:rsid w:val="05D62C60"/>
    <w:rsid w:val="060E16DD"/>
    <w:rsid w:val="06187DB5"/>
    <w:rsid w:val="061C1F17"/>
    <w:rsid w:val="06F12F7F"/>
    <w:rsid w:val="070F6D45"/>
    <w:rsid w:val="07331174"/>
    <w:rsid w:val="073C4D21"/>
    <w:rsid w:val="076609FF"/>
    <w:rsid w:val="077141F6"/>
    <w:rsid w:val="07AC0240"/>
    <w:rsid w:val="08083B7C"/>
    <w:rsid w:val="081409B2"/>
    <w:rsid w:val="08502DB0"/>
    <w:rsid w:val="08612BE4"/>
    <w:rsid w:val="088F068A"/>
    <w:rsid w:val="08AD61E6"/>
    <w:rsid w:val="096E3588"/>
    <w:rsid w:val="0A0C2905"/>
    <w:rsid w:val="0A330A9D"/>
    <w:rsid w:val="0A550002"/>
    <w:rsid w:val="0A703C79"/>
    <w:rsid w:val="0A710D74"/>
    <w:rsid w:val="0A733CBC"/>
    <w:rsid w:val="0AA0137B"/>
    <w:rsid w:val="0B08074B"/>
    <w:rsid w:val="0B426F0F"/>
    <w:rsid w:val="0B5B53C3"/>
    <w:rsid w:val="0BA02F9A"/>
    <w:rsid w:val="0BC9631E"/>
    <w:rsid w:val="0C5E61A6"/>
    <w:rsid w:val="0CB8322E"/>
    <w:rsid w:val="0CED358E"/>
    <w:rsid w:val="0D932405"/>
    <w:rsid w:val="0DBB0313"/>
    <w:rsid w:val="0EF671CB"/>
    <w:rsid w:val="0F37403F"/>
    <w:rsid w:val="0F4A68EC"/>
    <w:rsid w:val="0F904A16"/>
    <w:rsid w:val="0FCF6489"/>
    <w:rsid w:val="10257907"/>
    <w:rsid w:val="104F5258"/>
    <w:rsid w:val="1065797F"/>
    <w:rsid w:val="10E77D46"/>
    <w:rsid w:val="10EF5C58"/>
    <w:rsid w:val="11056A02"/>
    <w:rsid w:val="111416D8"/>
    <w:rsid w:val="111951D8"/>
    <w:rsid w:val="11831B2D"/>
    <w:rsid w:val="1198559E"/>
    <w:rsid w:val="11B65D7F"/>
    <w:rsid w:val="11D54C50"/>
    <w:rsid w:val="1260083C"/>
    <w:rsid w:val="12887F77"/>
    <w:rsid w:val="12C66E65"/>
    <w:rsid w:val="12FE5974"/>
    <w:rsid w:val="135929B1"/>
    <w:rsid w:val="13A00E73"/>
    <w:rsid w:val="13D80761"/>
    <w:rsid w:val="13F02406"/>
    <w:rsid w:val="14895792"/>
    <w:rsid w:val="14970813"/>
    <w:rsid w:val="149A2E5A"/>
    <w:rsid w:val="149C7EB8"/>
    <w:rsid w:val="149D50CC"/>
    <w:rsid w:val="14E2080B"/>
    <w:rsid w:val="14E3073E"/>
    <w:rsid w:val="158264D6"/>
    <w:rsid w:val="15C541BE"/>
    <w:rsid w:val="15D30435"/>
    <w:rsid w:val="15E24476"/>
    <w:rsid w:val="16153E66"/>
    <w:rsid w:val="167564CA"/>
    <w:rsid w:val="16AA34E2"/>
    <w:rsid w:val="16B67CD2"/>
    <w:rsid w:val="171D0BAB"/>
    <w:rsid w:val="17B71CE5"/>
    <w:rsid w:val="17B9584B"/>
    <w:rsid w:val="17DD5D20"/>
    <w:rsid w:val="18502E55"/>
    <w:rsid w:val="18947263"/>
    <w:rsid w:val="1936399D"/>
    <w:rsid w:val="19461F80"/>
    <w:rsid w:val="19EC37C6"/>
    <w:rsid w:val="19EE2B9D"/>
    <w:rsid w:val="1A1B6022"/>
    <w:rsid w:val="1A3F78A2"/>
    <w:rsid w:val="1AD260FF"/>
    <w:rsid w:val="1AD974FC"/>
    <w:rsid w:val="1B515E62"/>
    <w:rsid w:val="1B674782"/>
    <w:rsid w:val="1B91747A"/>
    <w:rsid w:val="1B940270"/>
    <w:rsid w:val="1C2A6ED5"/>
    <w:rsid w:val="1C494B00"/>
    <w:rsid w:val="1C8629DB"/>
    <w:rsid w:val="1C9A167C"/>
    <w:rsid w:val="1CC8253E"/>
    <w:rsid w:val="1CF22FC9"/>
    <w:rsid w:val="1D564245"/>
    <w:rsid w:val="1D826F83"/>
    <w:rsid w:val="1DEC57A6"/>
    <w:rsid w:val="1E291395"/>
    <w:rsid w:val="1E4863ED"/>
    <w:rsid w:val="1E56304E"/>
    <w:rsid w:val="1E5E0934"/>
    <w:rsid w:val="1E695344"/>
    <w:rsid w:val="1E7B1B91"/>
    <w:rsid w:val="1EAE457B"/>
    <w:rsid w:val="1EAF32E5"/>
    <w:rsid w:val="1EF00E2F"/>
    <w:rsid w:val="1F6C30F5"/>
    <w:rsid w:val="1F6E513D"/>
    <w:rsid w:val="2006711A"/>
    <w:rsid w:val="200E5227"/>
    <w:rsid w:val="20215B4F"/>
    <w:rsid w:val="20496D39"/>
    <w:rsid w:val="2056239C"/>
    <w:rsid w:val="206304C7"/>
    <w:rsid w:val="206B319F"/>
    <w:rsid w:val="21425FB4"/>
    <w:rsid w:val="21C17754"/>
    <w:rsid w:val="22433A09"/>
    <w:rsid w:val="22B563C7"/>
    <w:rsid w:val="237615BF"/>
    <w:rsid w:val="239E7213"/>
    <w:rsid w:val="23CB5F9B"/>
    <w:rsid w:val="23F648C6"/>
    <w:rsid w:val="240D4A36"/>
    <w:rsid w:val="24124401"/>
    <w:rsid w:val="24602350"/>
    <w:rsid w:val="24BA39E7"/>
    <w:rsid w:val="24E06F8D"/>
    <w:rsid w:val="259A0029"/>
    <w:rsid w:val="25EF714A"/>
    <w:rsid w:val="260228CF"/>
    <w:rsid w:val="264B3622"/>
    <w:rsid w:val="268F79BD"/>
    <w:rsid w:val="26CE6856"/>
    <w:rsid w:val="270A0276"/>
    <w:rsid w:val="270C460D"/>
    <w:rsid w:val="27676693"/>
    <w:rsid w:val="27FA419F"/>
    <w:rsid w:val="2869796C"/>
    <w:rsid w:val="29084DDE"/>
    <w:rsid w:val="291D7125"/>
    <w:rsid w:val="29277043"/>
    <w:rsid w:val="298121E7"/>
    <w:rsid w:val="2A030C54"/>
    <w:rsid w:val="2A1F2E80"/>
    <w:rsid w:val="2A621B97"/>
    <w:rsid w:val="2A6818A2"/>
    <w:rsid w:val="2A760FF9"/>
    <w:rsid w:val="2A954D9F"/>
    <w:rsid w:val="2ACF254B"/>
    <w:rsid w:val="2B280F73"/>
    <w:rsid w:val="2B6C4927"/>
    <w:rsid w:val="2B7908D3"/>
    <w:rsid w:val="2B88197A"/>
    <w:rsid w:val="2BC11C32"/>
    <w:rsid w:val="2BCC3246"/>
    <w:rsid w:val="2BE277B9"/>
    <w:rsid w:val="2BF25A1D"/>
    <w:rsid w:val="2C28077E"/>
    <w:rsid w:val="2CC3241E"/>
    <w:rsid w:val="2CDB269B"/>
    <w:rsid w:val="2CF464AF"/>
    <w:rsid w:val="2D07290D"/>
    <w:rsid w:val="2D6C048C"/>
    <w:rsid w:val="2D963C58"/>
    <w:rsid w:val="2DCC4132"/>
    <w:rsid w:val="2E1A3A43"/>
    <w:rsid w:val="2E614626"/>
    <w:rsid w:val="2E7D2D00"/>
    <w:rsid w:val="2EC2612C"/>
    <w:rsid w:val="2F46784C"/>
    <w:rsid w:val="2F5C2AA5"/>
    <w:rsid w:val="30A0494D"/>
    <w:rsid w:val="30AD7409"/>
    <w:rsid w:val="30C97F42"/>
    <w:rsid w:val="30E10C37"/>
    <w:rsid w:val="30FE7065"/>
    <w:rsid w:val="31A124F9"/>
    <w:rsid w:val="31D90658"/>
    <w:rsid w:val="322F3062"/>
    <w:rsid w:val="32507DC1"/>
    <w:rsid w:val="329259E7"/>
    <w:rsid w:val="33DC1E83"/>
    <w:rsid w:val="33ED79CA"/>
    <w:rsid w:val="34093BEC"/>
    <w:rsid w:val="34A614EC"/>
    <w:rsid w:val="35637DA6"/>
    <w:rsid w:val="357960A3"/>
    <w:rsid w:val="35BC4DC5"/>
    <w:rsid w:val="3616391B"/>
    <w:rsid w:val="368848CF"/>
    <w:rsid w:val="36914546"/>
    <w:rsid w:val="36E97DF5"/>
    <w:rsid w:val="37002407"/>
    <w:rsid w:val="370951EF"/>
    <w:rsid w:val="37227682"/>
    <w:rsid w:val="38410311"/>
    <w:rsid w:val="384A3C28"/>
    <w:rsid w:val="385819B9"/>
    <w:rsid w:val="38677D19"/>
    <w:rsid w:val="389333E6"/>
    <w:rsid w:val="38E54D64"/>
    <w:rsid w:val="38EB441F"/>
    <w:rsid w:val="390071A1"/>
    <w:rsid w:val="395D0179"/>
    <w:rsid w:val="398A1D37"/>
    <w:rsid w:val="3A2B2E7D"/>
    <w:rsid w:val="3A5A2471"/>
    <w:rsid w:val="3A872A53"/>
    <w:rsid w:val="3AF042EB"/>
    <w:rsid w:val="3B8E0546"/>
    <w:rsid w:val="3BB25584"/>
    <w:rsid w:val="3BC473F8"/>
    <w:rsid w:val="3BDE089F"/>
    <w:rsid w:val="3C15124C"/>
    <w:rsid w:val="3C633289"/>
    <w:rsid w:val="3CE0401E"/>
    <w:rsid w:val="3CF5550F"/>
    <w:rsid w:val="3D202B7F"/>
    <w:rsid w:val="3D42560E"/>
    <w:rsid w:val="3DE831E0"/>
    <w:rsid w:val="3E5502DC"/>
    <w:rsid w:val="3E802A97"/>
    <w:rsid w:val="3EB35CAD"/>
    <w:rsid w:val="3F583829"/>
    <w:rsid w:val="3FC26926"/>
    <w:rsid w:val="3FD633C9"/>
    <w:rsid w:val="404F65E9"/>
    <w:rsid w:val="40765523"/>
    <w:rsid w:val="40B2635D"/>
    <w:rsid w:val="40C84409"/>
    <w:rsid w:val="40CE1267"/>
    <w:rsid w:val="410D0E5E"/>
    <w:rsid w:val="412A6279"/>
    <w:rsid w:val="41300182"/>
    <w:rsid w:val="4143359F"/>
    <w:rsid w:val="41896292"/>
    <w:rsid w:val="41CE507A"/>
    <w:rsid w:val="41DA692E"/>
    <w:rsid w:val="41E20B51"/>
    <w:rsid w:val="41EE72BB"/>
    <w:rsid w:val="421604D4"/>
    <w:rsid w:val="42931B8D"/>
    <w:rsid w:val="429B15D2"/>
    <w:rsid w:val="42D33247"/>
    <w:rsid w:val="43223319"/>
    <w:rsid w:val="43AF4F93"/>
    <w:rsid w:val="44322CF9"/>
    <w:rsid w:val="445676AA"/>
    <w:rsid w:val="44C10428"/>
    <w:rsid w:val="44C8059F"/>
    <w:rsid w:val="44CA7669"/>
    <w:rsid w:val="44DD2576"/>
    <w:rsid w:val="44ED1DB2"/>
    <w:rsid w:val="45333815"/>
    <w:rsid w:val="45370064"/>
    <w:rsid w:val="455437E5"/>
    <w:rsid w:val="455B6418"/>
    <w:rsid w:val="45753B6F"/>
    <w:rsid w:val="45D41864"/>
    <w:rsid w:val="460E666E"/>
    <w:rsid w:val="463722FE"/>
    <w:rsid w:val="463D1EB7"/>
    <w:rsid w:val="46512358"/>
    <w:rsid w:val="46A47580"/>
    <w:rsid w:val="46C01D27"/>
    <w:rsid w:val="4710122B"/>
    <w:rsid w:val="47283CDE"/>
    <w:rsid w:val="475674A7"/>
    <w:rsid w:val="47616479"/>
    <w:rsid w:val="47671550"/>
    <w:rsid w:val="47DD3A2C"/>
    <w:rsid w:val="48407AAB"/>
    <w:rsid w:val="48417D80"/>
    <w:rsid w:val="48845378"/>
    <w:rsid w:val="48F4008F"/>
    <w:rsid w:val="49084551"/>
    <w:rsid w:val="499B31C8"/>
    <w:rsid w:val="49A30D13"/>
    <w:rsid w:val="49BC51E8"/>
    <w:rsid w:val="49D74833"/>
    <w:rsid w:val="4A65539B"/>
    <w:rsid w:val="4AB94E26"/>
    <w:rsid w:val="4BC56E20"/>
    <w:rsid w:val="4BE76708"/>
    <w:rsid w:val="4C0E21CB"/>
    <w:rsid w:val="4C1D2987"/>
    <w:rsid w:val="4C3108F8"/>
    <w:rsid w:val="4C450742"/>
    <w:rsid w:val="4CC754F9"/>
    <w:rsid w:val="4CF27B3F"/>
    <w:rsid w:val="4DA516ED"/>
    <w:rsid w:val="4DC0189A"/>
    <w:rsid w:val="4DF3377B"/>
    <w:rsid w:val="4E0A4298"/>
    <w:rsid w:val="4E434D28"/>
    <w:rsid w:val="4E9043E8"/>
    <w:rsid w:val="4EB85DCE"/>
    <w:rsid w:val="4EC825EE"/>
    <w:rsid w:val="4F216EB0"/>
    <w:rsid w:val="4F756219"/>
    <w:rsid w:val="503B1B50"/>
    <w:rsid w:val="50DA1CD7"/>
    <w:rsid w:val="5180ADE8"/>
    <w:rsid w:val="51EB3EF3"/>
    <w:rsid w:val="51F607A1"/>
    <w:rsid w:val="5204701C"/>
    <w:rsid w:val="528508CE"/>
    <w:rsid w:val="52C5775A"/>
    <w:rsid w:val="52D902F9"/>
    <w:rsid w:val="53774CFF"/>
    <w:rsid w:val="53A02515"/>
    <w:rsid w:val="54560F3F"/>
    <w:rsid w:val="547844ED"/>
    <w:rsid w:val="5496311D"/>
    <w:rsid w:val="54BD5801"/>
    <w:rsid w:val="54DF7FD4"/>
    <w:rsid w:val="54FB228A"/>
    <w:rsid w:val="550108A6"/>
    <w:rsid w:val="5508180B"/>
    <w:rsid w:val="554206CA"/>
    <w:rsid w:val="554B27F4"/>
    <w:rsid w:val="5555296C"/>
    <w:rsid w:val="556601A6"/>
    <w:rsid w:val="55BE1BCE"/>
    <w:rsid w:val="55CB0C23"/>
    <w:rsid w:val="55E747BE"/>
    <w:rsid w:val="563A061B"/>
    <w:rsid w:val="56503D00"/>
    <w:rsid w:val="56525B17"/>
    <w:rsid w:val="56607C45"/>
    <w:rsid w:val="576E6644"/>
    <w:rsid w:val="577B2C8A"/>
    <w:rsid w:val="57B47DFA"/>
    <w:rsid w:val="57CB2DD8"/>
    <w:rsid w:val="57DA0899"/>
    <w:rsid w:val="580235AD"/>
    <w:rsid w:val="588CE5E7"/>
    <w:rsid w:val="58A07CF7"/>
    <w:rsid w:val="58B66073"/>
    <w:rsid w:val="58BD03F9"/>
    <w:rsid w:val="58D445E5"/>
    <w:rsid w:val="59234899"/>
    <w:rsid w:val="594F4BD9"/>
    <w:rsid w:val="596A30C0"/>
    <w:rsid w:val="59D77CB5"/>
    <w:rsid w:val="59FC60E4"/>
    <w:rsid w:val="5A4C14B5"/>
    <w:rsid w:val="5A982FB2"/>
    <w:rsid w:val="5ABD0D14"/>
    <w:rsid w:val="5AEF2949"/>
    <w:rsid w:val="5B0453E0"/>
    <w:rsid w:val="5B0C091E"/>
    <w:rsid w:val="5B1B1CC7"/>
    <w:rsid w:val="5B4F17EB"/>
    <w:rsid w:val="5C075098"/>
    <w:rsid w:val="5C1A44AC"/>
    <w:rsid w:val="5C26135C"/>
    <w:rsid w:val="5C6940C8"/>
    <w:rsid w:val="5C7774C0"/>
    <w:rsid w:val="5C7C23F4"/>
    <w:rsid w:val="5C895837"/>
    <w:rsid w:val="5CBC4731"/>
    <w:rsid w:val="5D0B6A68"/>
    <w:rsid w:val="5D163BD6"/>
    <w:rsid w:val="5D8B66C2"/>
    <w:rsid w:val="5D975D03"/>
    <w:rsid w:val="5DC621E6"/>
    <w:rsid w:val="5DD61479"/>
    <w:rsid w:val="5DF10B7A"/>
    <w:rsid w:val="5DF60C34"/>
    <w:rsid w:val="5E132C2A"/>
    <w:rsid w:val="5F96318D"/>
    <w:rsid w:val="5FBF6023"/>
    <w:rsid w:val="5FD472E1"/>
    <w:rsid w:val="60321C44"/>
    <w:rsid w:val="60F56DCB"/>
    <w:rsid w:val="613B5864"/>
    <w:rsid w:val="61883090"/>
    <w:rsid w:val="61B96F31"/>
    <w:rsid w:val="61DB458D"/>
    <w:rsid w:val="61DF598E"/>
    <w:rsid w:val="62012C2A"/>
    <w:rsid w:val="626315D1"/>
    <w:rsid w:val="628B503D"/>
    <w:rsid w:val="62DA2A3D"/>
    <w:rsid w:val="62E60853"/>
    <w:rsid w:val="632905BE"/>
    <w:rsid w:val="635F31B6"/>
    <w:rsid w:val="63901267"/>
    <w:rsid w:val="63AA041B"/>
    <w:rsid w:val="63B931E0"/>
    <w:rsid w:val="63FB275D"/>
    <w:rsid w:val="63FC115B"/>
    <w:rsid w:val="64C96636"/>
    <w:rsid w:val="64FC699E"/>
    <w:rsid w:val="65685B2C"/>
    <w:rsid w:val="656B680A"/>
    <w:rsid w:val="65B10925"/>
    <w:rsid w:val="65F5496B"/>
    <w:rsid w:val="66040547"/>
    <w:rsid w:val="66052AF2"/>
    <w:rsid w:val="66791DF9"/>
    <w:rsid w:val="66EC09B3"/>
    <w:rsid w:val="67207164"/>
    <w:rsid w:val="67217E3E"/>
    <w:rsid w:val="67551D12"/>
    <w:rsid w:val="67760BCD"/>
    <w:rsid w:val="67D367BC"/>
    <w:rsid w:val="67E37C9F"/>
    <w:rsid w:val="68895EFC"/>
    <w:rsid w:val="68955552"/>
    <w:rsid w:val="68E43465"/>
    <w:rsid w:val="69134140"/>
    <w:rsid w:val="69800CD9"/>
    <w:rsid w:val="69D01CA0"/>
    <w:rsid w:val="6A3F35DF"/>
    <w:rsid w:val="6A4223AC"/>
    <w:rsid w:val="6A605AB5"/>
    <w:rsid w:val="6A886077"/>
    <w:rsid w:val="6AB74698"/>
    <w:rsid w:val="6AC028D6"/>
    <w:rsid w:val="6B374086"/>
    <w:rsid w:val="6BB873D6"/>
    <w:rsid w:val="6BCF2D82"/>
    <w:rsid w:val="6BD13FE6"/>
    <w:rsid w:val="6BD2193D"/>
    <w:rsid w:val="6BFE2475"/>
    <w:rsid w:val="6C2E142B"/>
    <w:rsid w:val="6C8B2792"/>
    <w:rsid w:val="6C8B53A2"/>
    <w:rsid w:val="6CAC115A"/>
    <w:rsid w:val="6CAF5731"/>
    <w:rsid w:val="6CC509FF"/>
    <w:rsid w:val="6D0262E5"/>
    <w:rsid w:val="6D113F6F"/>
    <w:rsid w:val="6D5872D2"/>
    <w:rsid w:val="6DE62EE1"/>
    <w:rsid w:val="6E3C092E"/>
    <w:rsid w:val="6EA56A44"/>
    <w:rsid w:val="6EA74DF2"/>
    <w:rsid w:val="6EA9791B"/>
    <w:rsid w:val="6F165D50"/>
    <w:rsid w:val="6F391788"/>
    <w:rsid w:val="6F5B0411"/>
    <w:rsid w:val="6F83766F"/>
    <w:rsid w:val="6F9230FD"/>
    <w:rsid w:val="6FE947B1"/>
    <w:rsid w:val="6FEA0199"/>
    <w:rsid w:val="70422B57"/>
    <w:rsid w:val="70632FD7"/>
    <w:rsid w:val="70D3279C"/>
    <w:rsid w:val="70D84D10"/>
    <w:rsid w:val="70DC3F37"/>
    <w:rsid w:val="7101574F"/>
    <w:rsid w:val="712B4136"/>
    <w:rsid w:val="71E539AF"/>
    <w:rsid w:val="728C3F13"/>
    <w:rsid w:val="72AE3136"/>
    <w:rsid w:val="72DC0F02"/>
    <w:rsid w:val="73580CC3"/>
    <w:rsid w:val="7393582A"/>
    <w:rsid w:val="73AC5A1C"/>
    <w:rsid w:val="73ED1412"/>
    <w:rsid w:val="741E7E01"/>
    <w:rsid w:val="742D2E7A"/>
    <w:rsid w:val="74E672E2"/>
    <w:rsid w:val="74E831BF"/>
    <w:rsid w:val="74ED0886"/>
    <w:rsid w:val="750D506E"/>
    <w:rsid w:val="75177744"/>
    <w:rsid w:val="754046AE"/>
    <w:rsid w:val="7556507D"/>
    <w:rsid w:val="75571D55"/>
    <w:rsid w:val="75887E7C"/>
    <w:rsid w:val="76417626"/>
    <w:rsid w:val="76926C0D"/>
    <w:rsid w:val="76F276D2"/>
    <w:rsid w:val="77014012"/>
    <w:rsid w:val="776A415C"/>
    <w:rsid w:val="78080BCD"/>
    <w:rsid w:val="783114DB"/>
    <w:rsid w:val="78553F21"/>
    <w:rsid w:val="78942A0B"/>
    <w:rsid w:val="78F062CC"/>
    <w:rsid w:val="791821F1"/>
    <w:rsid w:val="791F0D44"/>
    <w:rsid w:val="797E68B1"/>
    <w:rsid w:val="79EB5C3E"/>
    <w:rsid w:val="7A03263B"/>
    <w:rsid w:val="7A2024F7"/>
    <w:rsid w:val="7A962EAF"/>
    <w:rsid w:val="7B332FB4"/>
    <w:rsid w:val="7B492952"/>
    <w:rsid w:val="7B87435B"/>
    <w:rsid w:val="7BFB2033"/>
    <w:rsid w:val="7BFF1629"/>
    <w:rsid w:val="7C2B49C7"/>
    <w:rsid w:val="7C3036C1"/>
    <w:rsid w:val="7C9106EB"/>
    <w:rsid w:val="7CB3154B"/>
    <w:rsid w:val="7CEC0067"/>
    <w:rsid w:val="7D7653D6"/>
    <w:rsid w:val="7DBB163A"/>
    <w:rsid w:val="7DC63DDC"/>
    <w:rsid w:val="7DF2089A"/>
    <w:rsid w:val="7DF73A71"/>
    <w:rsid w:val="7DF87935"/>
    <w:rsid w:val="7E0728D9"/>
    <w:rsid w:val="7E1B01F2"/>
    <w:rsid w:val="7E37429F"/>
    <w:rsid w:val="7E461362"/>
    <w:rsid w:val="7EC37706"/>
    <w:rsid w:val="7EE738F3"/>
    <w:rsid w:val="7F2555A9"/>
    <w:rsid w:val="7FC5602F"/>
    <w:rsid w:val="83E96ACE"/>
    <w:rsid w:val="9E5BF847"/>
    <w:rsid w:val="A227FE66"/>
    <w:rsid w:val="B1E2C656"/>
    <w:rsid w:val="C5272026"/>
    <w:rsid w:val="CC2CF566"/>
    <w:rsid w:val="F1236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sdException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9"/>
    <w:pPr>
      <w:keepNext/>
      <w:keepLines/>
      <w:widowControl/>
      <w:spacing w:before="260" w:after="260" w:line="416" w:lineRule="auto"/>
      <w:jc w:val="left"/>
      <w:outlineLvl w:val="1"/>
    </w:pPr>
    <w:rPr>
      <w:rFonts w:ascii="Calibri Light" w:hAnsi="Calibri Light" w:eastAsia="等线 Light"/>
      <w:b/>
      <w:bCs/>
      <w:kern w:val="0"/>
      <w:sz w:val="32"/>
      <w:szCs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25"/>
    <w:qFormat/>
    <w:uiPriority w:val="99"/>
    <w:pPr>
      <w:jc w:val="left"/>
    </w:pPr>
    <w:rPr>
      <w:kern w:val="0"/>
      <w:sz w:val="20"/>
      <w:szCs w:val="20"/>
    </w:rPr>
  </w:style>
  <w:style w:type="paragraph" w:styleId="6">
    <w:name w:val="Body Text"/>
    <w:basedOn w:val="1"/>
    <w:link w:val="31"/>
    <w:uiPriority w:val="0"/>
    <w:pPr>
      <w:spacing w:after="120"/>
    </w:pPr>
    <w:rPr>
      <w:rFonts w:eastAsia="仿宋_GB2312"/>
      <w:kern w:val="0"/>
      <w:sz w:val="32"/>
      <w:szCs w:val="32"/>
    </w:rPr>
  </w:style>
  <w:style w:type="paragraph" w:styleId="7">
    <w:name w:val="Body Text Indent"/>
    <w:basedOn w:val="1"/>
    <w:link w:val="28"/>
    <w:uiPriority w:val="0"/>
    <w:pPr>
      <w:spacing w:after="120"/>
      <w:ind w:left="420" w:leftChars="200"/>
    </w:pPr>
    <w:rPr>
      <w:rFonts w:eastAsia="仿宋_GB2312"/>
      <w:kern w:val="0"/>
      <w:sz w:val="32"/>
      <w:szCs w:val="32"/>
    </w:rPr>
  </w:style>
  <w:style w:type="paragraph" w:styleId="8">
    <w:name w:val="Date"/>
    <w:basedOn w:val="1"/>
    <w:next w:val="1"/>
    <w:link w:val="23"/>
    <w:uiPriority w:val="0"/>
    <w:pPr>
      <w:ind w:left="100" w:leftChars="2500"/>
    </w:pPr>
  </w:style>
  <w:style w:type="paragraph" w:styleId="9">
    <w:name w:val="Balloon Text"/>
    <w:basedOn w:val="1"/>
    <w:link w:val="26"/>
    <w:uiPriority w:val="0"/>
    <w:rPr>
      <w:kern w:val="0"/>
      <w:sz w:val="18"/>
      <w:szCs w:val="18"/>
    </w:rPr>
  </w:style>
  <w:style w:type="paragraph" w:styleId="10">
    <w:name w:val="footer"/>
    <w:basedOn w:val="1"/>
    <w:link w:val="32"/>
    <w:uiPriority w:val="0"/>
    <w:pPr>
      <w:tabs>
        <w:tab w:val="center" w:pos="4153"/>
        <w:tab w:val="right" w:pos="8306"/>
      </w:tabs>
      <w:snapToGrid w:val="0"/>
      <w:jc w:val="left"/>
    </w:pPr>
    <w:rPr>
      <w:kern w:val="0"/>
      <w:sz w:val="18"/>
      <w:szCs w:val="18"/>
    </w:rPr>
  </w:style>
  <w:style w:type="paragraph" w:styleId="11">
    <w:name w:val="header"/>
    <w:basedOn w:val="1"/>
    <w:link w:val="22"/>
    <w:uiPriority w:val="0"/>
    <w:pPr>
      <w:pBdr>
        <w:bottom w:val="single" w:color="auto" w:sz="6" w:space="1"/>
      </w:pBdr>
      <w:tabs>
        <w:tab w:val="center" w:pos="4153"/>
        <w:tab w:val="right" w:pos="8306"/>
      </w:tabs>
      <w:snapToGrid w:val="0"/>
      <w:jc w:val="center"/>
    </w:pPr>
    <w:rPr>
      <w:kern w:val="0"/>
      <w:sz w:val="18"/>
      <w:szCs w:val="18"/>
    </w:rPr>
  </w:style>
  <w:style w:type="paragraph" w:styleId="12">
    <w:name w:val="toc 1"/>
    <w:basedOn w:val="1"/>
    <w:next w:val="1"/>
    <w:uiPriority w:val="0"/>
    <w:pPr>
      <w:tabs>
        <w:tab w:val="right" w:leader="dot" w:pos="8296"/>
      </w:tabs>
    </w:pPr>
  </w:style>
  <w:style w:type="paragraph" w:styleId="13">
    <w:name w:val="toc 2"/>
    <w:basedOn w:val="1"/>
    <w:next w:val="1"/>
    <w:uiPriority w:val="0"/>
    <w:pPr>
      <w:ind w:left="420" w:leftChars="200"/>
    </w:pPr>
  </w:style>
  <w:style w:type="paragraph" w:styleId="14">
    <w:name w:val="Normal (Web)"/>
    <w:basedOn w:val="1"/>
    <w:uiPriority w:val="99"/>
    <w:pPr>
      <w:widowControl/>
      <w:spacing w:before="100" w:beforeAutospacing="1" w:after="100" w:afterAutospacing="1"/>
      <w:jc w:val="left"/>
    </w:pPr>
    <w:rPr>
      <w:rFonts w:ascii="宋体" w:hAnsi="宋体" w:cs="宋体"/>
      <w:kern w:val="0"/>
      <w:sz w:val="24"/>
      <w:szCs w:val="24"/>
    </w:rPr>
  </w:style>
  <w:style w:type="paragraph" w:styleId="15">
    <w:name w:val="annotation subject"/>
    <w:basedOn w:val="5"/>
    <w:next w:val="5"/>
    <w:link w:val="24"/>
    <w:uiPriority w:val="0"/>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22"/>
    <w:rPr>
      <w:rFonts w:ascii="Times New Roman" w:hAnsi="Times New Roman" w:eastAsia="宋体" w:cs="Times New Roman"/>
      <w:b/>
      <w:bCs/>
    </w:rPr>
  </w:style>
  <w:style w:type="character" w:styleId="20">
    <w:name w:val="Hyperlink"/>
    <w:uiPriority w:val="0"/>
    <w:rPr>
      <w:rFonts w:ascii="Times New Roman" w:hAnsi="Times New Roman" w:eastAsia="宋体" w:cs="Times New Roman"/>
      <w:color w:val="0563C1"/>
      <w:u w:val="single"/>
    </w:rPr>
  </w:style>
  <w:style w:type="character" w:styleId="21">
    <w:name w:val="annotation reference"/>
    <w:qFormat/>
    <w:uiPriority w:val="99"/>
    <w:rPr>
      <w:rFonts w:ascii="Times New Roman" w:hAnsi="Times New Roman" w:eastAsia="宋体" w:cs="Times New Roman"/>
      <w:sz w:val="21"/>
      <w:szCs w:val="21"/>
    </w:rPr>
  </w:style>
  <w:style w:type="character" w:customStyle="1" w:styleId="22">
    <w:name w:val="页眉 Char"/>
    <w:link w:val="11"/>
    <w:uiPriority w:val="0"/>
    <w:rPr>
      <w:rFonts w:ascii="Times New Roman" w:hAnsi="Times New Roman" w:eastAsia="宋体" w:cs="Times New Roman"/>
      <w:sz w:val="18"/>
      <w:szCs w:val="18"/>
    </w:rPr>
  </w:style>
  <w:style w:type="character" w:customStyle="1" w:styleId="23">
    <w:name w:val="日期 Char"/>
    <w:link w:val="8"/>
    <w:uiPriority w:val="0"/>
    <w:rPr>
      <w:rFonts w:ascii="Times New Roman" w:hAnsi="Times New Roman" w:eastAsia="宋体" w:cs="Times New Roman"/>
      <w:kern w:val="2"/>
      <w:sz w:val="21"/>
      <w:szCs w:val="22"/>
    </w:rPr>
  </w:style>
  <w:style w:type="character" w:customStyle="1" w:styleId="24">
    <w:name w:val="批注主题 Char"/>
    <w:link w:val="15"/>
    <w:uiPriority w:val="0"/>
    <w:rPr>
      <w:rFonts w:ascii="Times New Roman" w:hAnsi="Times New Roman" w:eastAsia="宋体" w:cs="Times New Roman"/>
      <w:b/>
      <w:bCs/>
    </w:rPr>
  </w:style>
  <w:style w:type="character" w:customStyle="1" w:styleId="25">
    <w:name w:val="批注文字 Char"/>
    <w:link w:val="5"/>
    <w:qFormat/>
    <w:uiPriority w:val="99"/>
    <w:rPr>
      <w:rFonts w:ascii="Times New Roman" w:hAnsi="Times New Roman" w:eastAsia="宋体" w:cs="Times New Roman"/>
    </w:rPr>
  </w:style>
  <w:style w:type="character" w:customStyle="1" w:styleId="26">
    <w:name w:val="批注框文本 Char"/>
    <w:link w:val="9"/>
    <w:uiPriority w:val="0"/>
    <w:rPr>
      <w:rFonts w:ascii="Times New Roman" w:hAnsi="Times New Roman" w:eastAsia="宋体" w:cs="Times New Roman"/>
      <w:sz w:val="18"/>
      <w:szCs w:val="18"/>
    </w:rPr>
  </w:style>
  <w:style w:type="character" w:customStyle="1" w:styleId="27">
    <w:name w:val="标题 1 Char"/>
    <w:link w:val="2"/>
    <w:qFormat/>
    <w:uiPriority w:val="0"/>
    <w:rPr>
      <w:rFonts w:ascii="Times New Roman" w:hAnsi="Times New Roman" w:eastAsia="宋体" w:cs="Times New Roman"/>
      <w:b/>
      <w:bCs/>
      <w:kern w:val="44"/>
      <w:sz w:val="44"/>
      <w:szCs w:val="44"/>
    </w:rPr>
  </w:style>
  <w:style w:type="character" w:customStyle="1" w:styleId="28">
    <w:name w:val="正文文本缩进 Char"/>
    <w:link w:val="7"/>
    <w:uiPriority w:val="0"/>
    <w:rPr>
      <w:rFonts w:ascii="Times New Roman" w:hAnsi="Times New Roman" w:eastAsia="仿宋_GB2312" w:cs="Times New Roman"/>
      <w:sz w:val="32"/>
      <w:szCs w:val="32"/>
    </w:rPr>
  </w:style>
  <w:style w:type="character" w:customStyle="1" w:styleId="29">
    <w:name w:val="标题 2 Char"/>
    <w:link w:val="3"/>
    <w:qFormat/>
    <w:uiPriority w:val="9"/>
    <w:rPr>
      <w:rFonts w:ascii="Calibri Light" w:hAnsi="Calibri Light" w:eastAsia="等线 Light" w:cs="Times New Roman"/>
      <w:b/>
      <w:bCs/>
      <w:sz w:val="32"/>
      <w:szCs w:val="32"/>
    </w:rPr>
  </w:style>
  <w:style w:type="character" w:customStyle="1" w:styleId="30">
    <w:name w:val="bumpedfont15"/>
    <w:autoRedefine/>
    <w:uiPriority w:val="0"/>
    <w:rPr>
      <w:rFonts w:ascii="Times New Roman" w:hAnsi="Times New Roman" w:eastAsia="宋体" w:cs="Times New Roman"/>
    </w:rPr>
  </w:style>
  <w:style w:type="character" w:customStyle="1" w:styleId="31">
    <w:name w:val="正文文本 Char"/>
    <w:link w:val="6"/>
    <w:uiPriority w:val="0"/>
    <w:rPr>
      <w:rFonts w:ascii="Times New Roman" w:hAnsi="Times New Roman" w:eastAsia="仿宋_GB2312" w:cs="Times New Roman"/>
      <w:sz w:val="32"/>
      <w:szCs w:val="32"/>
    </w:rPr>
  </w:style>
  <w:style w:type="character" w:customStyle="1" w:styleId="32">
    <w:name w:val="页脚 Char"/>
    <w:link w:val="10"/>
    <w:uiPriority w:val="0"/>
    <w:rPr>
      <w:rFonts w:ascii="Times New Roman" w:hAnsi="Times New Roman" w:eastAsia="宋体" w:cs="Times New Roman"/>
      <w:sz w:val="18"/>
      <w:szCs w:val="18"/>
    </w:rPr>
  </w:style>
  <w:style w:type="paragraph" w:customStyle="1" w:styleId="33">
    <w:name w:val="Revision"/>
    <w:uiPriority w:val="0"/>
    <w:rPr>
      <w:rFonts w:ascii="Times New Roman" w:hAnsi="Times New Roman" w:eastAsia="宋体" w:cs="Times New Roman"/>
      <w:kern w:val="2"/>
      <w:sz w:val="21"/>
      <w:szCs w:val="22"/>
      <w:lang w:val="en-US" w:eastAsia="zh-CN" w:bidi="ar-SA"/>
    </w:rPr>
  </w:style>
  <w:style w:type="paragraph" w:customStyle="1" w:styleId="34">
    <w:name w:val="Char Char Char Char"/>
    <w:basedOn w:val="1"/>
    <w:autoRedefine/>
    <w:uiPriority w:val="0"/>
    <w:rPr>
      <w:szCs w:val="24"/>
    </w:rPr>
  </w:style>
  <w:style w:type="paragraph" w:customStyle="1" w:styleId="35">
    <w:name w:val="列出段落1"/>
    <w:basedOn w:val="1"/>
    <w:uiPriority w:val="0"/>
    <w:pPr>
      <w:widowControl/>
      <w:adjustRightInd w:val="0"/>
      <w:snapToGrid w:val="0"/>
      <w:spacing w:after="200"/>
      <w:ind w:firstLine="420" w:firstLineChars="200"/>
      <w:jc w:val="left"/>
    </w:pPr>
    <w:rPr>
      <w:rFonts w:ascii="Tahoma" w:hAnsi="Tahoma" w:eastAsia="微软雅黑"/>
      <w:kern w:val="0"/>
      <w:sz w:val="22"/>
    </w:rPr>
  </w:style>
  <w:style w:type="paragraph" w:customStyle="1" w:styleId="36">
    <w:name w:val="Char Char Char Char Char Char Char Char Char Char Char Char"/>
    <w:basedOn w:val="1"/>
    <w:uiPriority w:val="0"/>
    <w:rPr>
      <w:szCs w:val="20"/>
    </w:rPr>
  </w:style>
  <w:style w:type="paragraph" w:styleId="37">
    <w:name w:val="List Paragraph"/>
    <w:basedOn w:val="1"/>
    <w:qFormat/>
    <w:uiPriority w:val="34"/>
    <w:pPr>
      <w:ind w:firstLine="420" w:firstLineChars="200"/>
    </w:pPr>
  </w:style>
  <w:style w:type="paragraph" w:customStyle="1" w:styleId="38">
    <w:name w:val="Char Char Char Char Char Char Char Char Char Char Char Char1"/>
    <w:basedOn w:val="1"/>
    <w:uiPriority w:val="0"/>
    <w:rPr>
      <w:szCs w:val="20"/>
    </w:rPr>
  </w:style>
  <w:style w:type="paragraph" w:customStyle="1" w:styleId="39">
    <w:name w:val="Char Char Char Char1"/>
    <w:basedOn w:val="1"/>
    <w:uiPriority w:val="0"/>
    <w:rPr>
      <w:szCs w:val="24"/>
    </w:rPr>
  </w:style>
  <w:style w:type="paragraph" w:customStyle="1" w:styleId="40">
    <w:name w:val="第一条"/>
    <w:basedOn w:val="1"/>
    <w:next w:val="4"/>
    <w:qFormat/>
    <w:uiPriority w:val="0"/>
    <w:pPr>
      <w:spacing w:line="360" w:lineRule="auto"/>
      <w:jc w:val="center"/>
    </w:pPr>
    <w:rPr>
      <w:rFonts w:hAnsi="宋体"/>
      <w:sz w:val="24"/>
      <w:szCs w:val="24"/>
    </w:rPr>
  </w:style>
  <w:style w:type="paragraph" w:customStyle="1" w:styleId="41">
    <w:name w:val="TOC Heading"/>
    <w:basedOn w:val="2"/>
    <w:next w:val="1"/>
    <w:qFormat/>
    <w:uiPriority w:val="0"/>
    <w:pPr>
      <w:widowControl/>
      <w:spacing w:before="240" w:after="0" w:line="259" w:lineRule="auto"/>
      <w:jc w:val="left"/>
      <w:outlineLvl w:val="9"/>
    </w:pPr>
    <w:rPr>
      <w:rFonts w:ascii="Calibri Light" w:hAnsi="Calibri Light"/>
      <w:b w:val="0"/>
      <w:bCs w:val="0"/>
      <w:color w:val="2E74B5"/>
      <w:kern w:val="0"/>
      <w:sz w:val="32"/>
      <w:szCs w:val="32"/>
    </w:rPr>
  </w:style>
  <w:style w:type="paragraph" w:styleId="42">
    <w:name w:val="No Spacing"/>
    <w:autoRedefine/>
    <w:qFormat/>
    <w:uiPriority w:val="1"/>
    <w:pPr>
      <w:widowControl w:val="0"/>
      <w:jc w:val="both"/>
    </w:pPr>
    <w:rPr>
      <w:rFonts w:ascii="Calibri" w:hAnsi="Calibri" w:eastAsia="等线"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EEE7E9-4189-463C-90E4-FAC54B5E95E9}">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34</Pages>
  <Words>2439</Words>
  <Characters>13907</Characters>
  <Lines>115</Lines>
  <Paragraphs>32</Paragraphs>
  <TotalTime>167</TotalTime>
  <ScaleCrop>false</ScaleCrop>
  <LinksUpToDate>false</LinksUpToDate>
  <CharactersWithSpaces>16314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2019-12-05T03:12:00Z</dcterms:created>
  <dc:creator>Administrator</dc:creator>
  <cp:lastModifiedBy>夕颜</cp:lastModifiedBy>
  <cp:lastPrinted>2019-09-03T01:43:00Z</cp:lastPrinted>
  <dcterms:modified xsi:type="dcterms:W3CDTF">2024-04-07T02:57:53Z</dcterms:modified>
  <dc:title>电力中长期交易基本规则</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A8B43AC260AC4DCF971E2CE837D58018_12</vt:lpwstr>
  </property>
</Properties>
</file>