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637"/>
        <w:pBdr/>
        <w:spacing w:line="560" w:lineRule="exact"/>
        <w:ind/>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 xml:space="preserve">附件2</w:t>
      </w:r>
      <w:r>
        <w:rPr>
          <w:rFonts w:hint="eastAsia" w:ascii="黑体" w:hAnsi="黑体" w:eastAsia="黑体" w:cs="黑体"/>
          <w:bCs/>
          <w:sz w:val="32"/>
          <w:szCs w:val="32"/>
          <w:lang w:val="en-US" w:eastAsia="zh-CN"/>
        </w:rPr>
      </w:r>
      <w:r>
        <w:rPr>
          <w:rFonts w:hint="eastAsia" w:ascii="黑体" w:hAnsi="黑体" w:eastAsia="黑体" w:cs="黑体"/>
          <w:bCs/>
          <w:sz w:val="32"/>
          <w:szCs w:val="32"/>
          <w:lang w:val="en-US" w:eastAsia="zh-CN"/>
        </w:rPr>
      </w:r>
    </w:p>
    <w:p>
      <w:pPr>
        <w:pStyle w:val="637"/>
        <w:pBdr/>
        <w:spacing w:line="560" w:lineRule="exact"/>
        <w:ind/>
        <w:rPr>
          <w:rFonts w:hint="eastAsia" w:ascii="方正小标宋简体" w:hAnsi="仿宋" w:eastAsia="方正小标宋简体" w:cs="仿宋"/>
          <w:bCs/>
          <w:sz w:val="36"/>
          <w:szCs w:val="36"/>
        </w:rPr>
      </w:pPr>
      <w:r>
        <w:rPr>
          <w:rFonts w:hint="eastAsia" w:ascii="方正小标宋简体" w:hAnsi="仿宋" w:eastAsia="方正小标宋简体" w:cs="仿宋"/>
          <w:bCs/>
          <w:sz w:val="36"/>
          <w:szCs w:val="36"/>
        </w:rPr>
      </w:r>
      <w:r>
        <w:rPr>
          <w:rFonts w:hint="eastAsia" w:ascii="方正小标宋简体" w:hAnsi="仿宋" w:eastAsia="方正小标宋简体" w:cs="仿宋"/>
          <w:bCs/>
          <w:sz w:val="36"/>
          <w:szCs w:val="36"/>
        </w:rPr>
      </w:r>
    </w:p>
    <w:p>
      <w:pPr>
        <w:pStyle w:val="637"/>
        <w:pBdr/>
        <w:spacing w:line="560" w:lineRule="exact"/>
        <w:ind/>
        <w:rPr>
          <w:rFonts w:hint="eastAsia" w:ascii="方正小标宋简体" w:hAnsi="仿宋" w:eastAsia="方正小标宋简体" w:cs="仿宋"/>
          <w:bCs/>
          <w:sz w:val="36"/>
          <w:szCs w:val="36"/>
        </w:rPr>
      </w:pPr>
      <w:r>
        <w:rPr>
          <w:rFonts w:hint="eastAsia" w:ascii="方正小标宋简体" w:hAnsi="仿宋" w:eastAsia="方正小标宋简体" w:cs="仿宋"/>
          <w:bCs/>
          <w:sz w:val="36"/>
          <w:szCs w:val="36"/>
        </w:rPr>
      </w:r>
      <w:r>
        <w:rPr>
          <w:rFonts w:hint="eastAsia" w:ascii="方正小标宋简体" w:hAnsi="仿宋" w:eastAsia="方正小标宋简体" w:cs="仿宋"/>
          <w:bCs/>
          <w:sz w:val="36"/>
          <w:szCs w:val="36"/>
        </w:rPr>
      </w:r>
    </w:p>
    <w:p>
      <w:pPr>
        <w:pStyle w:val="637"/>
        <w:pBdr/>
        <w:spacing w:line="560" w:lineRule="exact"/>
        <w:ind/>
        <w:jc w:val="center"/>
        <w:rPr>
          <w:rFonts w:hint="eastAsia" w:ascii="方正小标宋简体" w:hAnsi="仿宋" w:eastAsia="方正小标宋简体" w:cs="仿宋"/>
          <w:bCs/>
          <w:sz w:val="36"/>
          <w:szCs w:val="36"/>
        </w:rPr>
      </w:pPr>
      <w:r>
        <w:rPr>
          <w:rFonts w:hint="eastAsia" w:ascii="方正小标宋简体" w:hAnsi="仿宋" w:eastAsia="方正小标宋简体" w:cs="仿宋"/>
          <w:bCs/>
          <w:sz w:val="36"/>
          <w:szCs w:val="36"/>
        </w:rPr>
        <w:t xml:space="preserve">《电力安全生产行动计划（2018-2020年）》编制说明</w:t>
      </w:r>
      <w:r>
        <w:rPr>
          <w:rFonts w:hint="eastAsia" w:ascii="方正小标宋简体" w:hAnsi="仿宋" w:eastAsia="方正小标宋简体" w:cs="仿宋"/>
          <w:bCs/>
          <w:sz w:val="36"/>
          <w:szCs w:val="36"/>
        </w:rPr>
      </w:r>
      <w:r>
        <w:rPr>
          <w:rFonts w:hint="eastAsia" w:ascii="方正小标宋简体" w:hAnsi="仿宋" w:eastAsia="方正小标宋简体" w:cs="仿宋"/>
          <w:bCs/>
          <w:sz w:val="36"/>
          <w:szCs w:val="36"/>
        </w:rPr>
      </w:r>
    </w:p>
    <w:p>
      <w:pPr>
        <w:pStyle w:val="637"/>
        <w:pBdr/>
        <w:spacing w:line="560" w:lineRule="exact"/>
        <w:ind/>
        <w:jc w:val="center"/>
        <w:rPr>
          <w:rFonts w:hint="eastAsia" w:ascii="楷体" w:hAnsi="楷体" w:eastAsia="楷体" w:cs="仿宋"/>
          <w:bCs/>
          <w:sz w:val="28"/>
          <w:szCs w:val="28"/>
        </w:rPr>
      </w:pPr>
      <w:r>
        <w:rPr>
          <w:rFonts w:hint="eastAsia" w:ascii="楷体" w:hAnsi="楷体" w:eastAsia="楷体" w:cs="仿宋"/>
          <w:bCs/>
          <w:sz w:val="28"/>
          <w:szCs w:val="28"/>
        </w:rPr>
        <w:t xml:space="preserve">2018年3月29日</w:t>
      </w:r>
      <w:r>
        <w:rPr>
          <w:rFonts w:hint="eastAsia" w:ascii="楷体" w:hAnsi="楷体" w:eastAsia="楷体" w:cs="仿宋"/>
          <w:bCs/>
          <w:sz w:val="28"/>
          <w:szCs w:val="28"/>
        </w:rPr>
      </w:r>
      <w:r>
        <w:rPr>
          <w:rFonts w:hint="eastAsia" w:ascii="楷体" w:hAnsi="楷体" w:eastAsia="楷体" w:cs="仿宋"/>
          <w:bCs/>
          <w:sz w:val="28"/>
          <w:szCs w:val="28"/>
        </w:rPr>
      </w:r>
    </w:p>
    <w:p>
      <w:pPr>
        <w:pStyle w:val="637"/>
        <w:pBdr/>
        <w:spacing w:line="560" w:lineRule="exact"/>
        <w:ind w:firstLine="562"/>
        <w:rPr>
          <w:rFonts w:hint="eastAsia" w:ascii="仿宋_GB2312" w:hAnsi="仿宋" w:eastAsia="仿宋_GB2312" w:cs="仿宋"/>
          <w:b/>
          <w:bCs/>
          <w:sz w:val="28"/>
          <w:szCs w:val="28"/>
        </w:rPr>
      </w:pPr>
      <w:r>
        <w:rPr>
          <w:rFonts w:hint="eastAsia" w:ascii="仿宋_GB2312" w:hAnsi="仿宋" w:eastAsia="仿宋_GB2312" w:cs="仿宋"/>
          <w:b/>
          <w:bCs/>
          <w:sz w:val="28"/>
          <w:szCs w:val="28"/>
        </w:rPr>
      </w:r>
      <w:r>
        <w:rPr>
          <w:rFonts w:hint="eastAsia" w:ascii="仿宋_GB2312" w:hAnsi="仿宋" w:eastAsia="仿宋_GB2312" w:cs="仿宋"/>
          <w:b/>
          <w:bCs/>
          <w:sz w:val="28"/>
          <w:szCs w:val="28"/>
        </w:rPr>
      </w:r>
    </w:p>
    <w:p>
      <w:pPr>
        <w:pStyle w:val="637"/>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为贯彻落实党中央、国务院关于加强安全生产工作的决策部署，按照局领导的要求，我们组织编制了《电力安全生产行动计划（2018-2020年）》。现将有关情况说明如下。</w:t>
      </w:r>
      <w:r>
        <w:rPr>
          <w:rFonts w:ascii="仿宋_GB2312" w:hAnsi="仿宋" w:eastAsia="仿宋_GB2312"/>
          <w:sz w:val="32"/>
          <w:szCs w:val="32"/>
        </w:rPr>
      </w:r>
      <w:r>
        <w:rPr>
          <w:rFonts w:ascii="仿宋_GB2312" w:hAnsi="仿宋" w:eastAsia="仿宋_GB2312"/>
          <w:sz w:val="32"/>
          <w:szCs w:val="32"/>
        </w:rPr>
      </w:r>
    </w:p>
    <w:p>
      <w:pPr>
        <w:pStyle w:val="637"/>
        <w:pBdr/>
        <w:spacing w:line="560" w:lineRule="exact"/>
        <w:ind w:firstLine="640"/>
        <w:rPr>
          <w:rFonts w:hint="eastAsia" w:ascii="黑体" w:hAnsi="黑体" w:eastAsia="黑体" w:cs="仿宋"/>
          <w:bCs/>
          <w:sz w:val="32"/>
          <w:szCs w:val="32"/>
        </w:rPr>
      </w:pPr>
      <w:r>
        <w:rPr>
          <w:rFonts w:hint="eastAsia" w:ascii="黑体" w:hAnsi="黑体" w:eastAsia="黑体" w:cs="仿宋"/>
          <w:bCs/>
          <w:sz w:val="32"/>
          <w:szCs w:val="32"/>
        </w:rPr>
        <w:t xml:space="preserve">一、编制背景</w:t>
      </w:r>
      <w:r>
        <w:rPr>
          <w:rFonts w:hint="eastAsia" w:ascii="黑体" w:hAnsi="黑体" w:eastAsia="黑体" w:cs="仿宋"/>
          <w:bCs/>
          <w:sz w:val="32"/>
          <w:szCs w:val="32"/>
        </w:rPr>
      </w:r>
      <w:r>
        <w:rPr>
          <w:rFonts w:hint="eastAsia" w:ascii="黑体" w:hAnsi="黑体" w:eastAsia="黑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sz w:val="32"/>
          <w:szCs w:val="32"/>
        </w:rPr>
        <w:t xml:space="preserve">为贯彻落实党中央、国务院关于加强安全生产工作的决策部署，不断提升全国电力安全生产水平，保障电力系统安全稳定运行和电力可靠供应，依据《</w:t>
      </w:r>
      <w:r>
        <w:rPr>
          <w:rFonts w:hint="eastAsia" w:ascii="仿宋_GB2312" w:hAnsi="仿宋" w:eastAsia="仿宋_GB2312"/>
          <w:sz w:val="32"/>
          <w:szCs w:val="32"/>
        </w:rPr>
        <w:t xml:space="preserve">中华人民共和国</w:t>
      </w:r>
      <w:r>
        <w:rPr>
          <w:rFonts w:hint="eastAsia" w:ascii="仿宋_GB2312" w:hAnsi="仿宋" w:eastAsia="仿宋_GB2312"/>
          <w:sz w:val="32"/>
          <w:szCs w:val="32"/>
        </w:rPr>
        <w:t xml:space="preserve">安全生产法》《中华人民共和国电力法》等法律法规，以及《中共中央 国务院关于推进安全生产领域改革发展的意见》《安全生产“十三五”规划》等文件，制定本行动计划。</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黑体" w:hAnsi="黑体" w:eastAsia="黑体" w:cs="仿宋"/>
          <w:bCs/>
          <w:sz w:val="32"/>
          <w:szCs w:val="32"/>
        </w:rPr>
      </w:pPr>
      <w:r>
        <w:rPr>
          <w:rFonts w:hint="eastAsia" w:ascii="黑体" w:hAnsi="黑体" w:eastAsia="黑体" w:cs="仿宋"/>
          <w:bCs/>
          <w:sz w:val="32"/>
          <w:szCs w:val="32"/>
        </w:rPr>
        <w:t xml:space="preserve">二、编制过程</w:t>
      </w:r>
      <w:r>
        <w:rPr>
          <w:rFonts w:hint="eastAsia" w:ascii="黑体" w:hAnsi="黑体" w:eastAsia="黑体" w:cs="仿宋"/>
          <w:bCs/>
          <w:sz w:val="32"/>
          <w:szCs w:val="32"/>
        </w:rPr>
      </w:r>
      <w:r>
        <w:rPr>
          <w:rFonts w:hint="eastAsia" w:ascii="黑体" w:hAnsi="黑体" w:eastAsia="黑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第一阶段：2017年6-7月，组建工作机构，启动编制工作。根据行动计划编制需要，成立了编制专家委员会，包括电气一次、电气二次、火电、水电、核电、新能源以及综合与编写组共7个组，在行动计划编制过程中，根据工作需要又新增成立了电力建设专项组。编制专家委员会及其8个组共112位专家参与了行动计划编制工作。7月25日，组织召开了编制启动会，正式启动编制工作。</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第二阶段：2017年7-10月，形成编制大纲，编制专业分报告。编委会组织专家前往山东等地开展了电力安全生产调研收资；之后组织召开了编制大纲专家讨论会，形成编制大纲并启动了专业分报告的编写。9月1日，完成了各专业组分报告初稿；9月3日，组织召开了专业分报告初稿汇报交流会；9月5日，组织召开了电力安全行动计划基建安全工作座谈会，根据会议意见，会后增设了电力建设专项组并启动编制电力建设专项分报告。</w:t>
      </w:r>
      <w:r>
        <w:rPr>
          <w:rFonts w:hint="eastAsia" w:ascii="仿宋_GB2312" w:hAnsi="仿宋" w:eastAsia="仿宋_GB2312" w:cs="仿宋"/>
          <w:bCs/>
          <w:sz w:val="32"/>
          <w:szCs w:val="32"/>
        </w:rPr>
        <w:t xml:space="preserve">根据分报告初稿汇报会上的意见，各专业组分别组织召开了多次专题讨论会，经过多次反复讨论修改，9月30日，7个组分别完成了分报告的编制。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第三阶段：2017年9-12月，完成行动计划总报告。10月18日，综合与编写组整合修改7个组的分报告形成了总报告修改稿，并以函审的形式发送各组征求意见，前后共组织3轮征求意见和5次修改讨论会，共92人次参与总报告的多轮次修改；10月底形成了总报告征求意见稿；11月9日，组织召开了总报告讨论会，根据讨论会上提出的修改意见，综合与编写组反复修改并多次征求意见，12月19日形成了总报告送审稿，包括总报告1份、分报告7份。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黑体" w:hAnsi="黑体" w:eastAsia="黑体" w:cs="仿宋"/>
          <w:bCs/>
          <w:sz w:val="32"/>
          <w:szCs w:val="32"/>
        </w:rPr>
      </w:pPr>
      <w:r>
        <w:rPr>
          <w:rFonts w:hint="eastAsia" w:ascii="黑体" w:hAnsi="黑体" w:eastAsia="黑体" w:cs="仿宋"/>
          <w:bCs/>
          <w:sz w:val="32"/>
          <w:szCs w:val="32"/>
        </w:rPr>
        <w:t xml:space="preserve">三、主要内容</w:t>
      </w:r>
      <w:r>
        <w:rPr>
          <w:rFonts w:hint="eastAsia" w:ascii="黑体" w:hAnsi="黑体" w:eastAsia="黑体" w:cs="仿宋"/>
          <w:bCs/>
          <w:sz w:val="32"/>
          <w:szCs w:val="32"/>
        </w:rPr>
      </w:r>
      <w:r>
        <w:rPr>
          <w:rFonts w:hint="eastAsia" w:ascii="黑体" w:hAnsi="黑体" w:eastAsia="黑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总报告由五个部分组成，分别是：面临形势，指导思想、基本原则和目标，主要任务，重点工程和实施保障。</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楷体" w:hAnsi="楷体" w:eastAsia="楷体" w:cs="仿宋"/>
          <w:bCs/>
          <w:sz w:val="32"/>
          <w:szCs w:val="32"/>
        </w:rPr>
      </w:pPr>
      <w:r>
        <w:rPr>
          <w:rFonts w:hint="eastAsia" w:ascii="楷体" w:hAnsi="楷体" w:eastAsia="楷体" w:cs="仿宋"/>
          <w:bCs/>
          <w:sz w:val="32"/>
          <w:szCs w:val="32"/>
        </w:rPr>
        <w:t xml:space="preserve">（一）面临形势</w:t>
      </w:r>
      <w:r>
        <w:rPr>
          <w:rFonts w:hint="eastAsia" w:ascii="楷体" w:hAnsi="楷体" w:eastAsia="楷体" w:cs="仿宋"/>
          <w:bCs/>
          <w:sz w:val="32"/>
          <w:szCs w:val="32"/>
        </w:rPr>
      </w:r>
      <w:r>
        <w:rPr>
          <w:rFonts w:hint="eastAsia" w:ascii="楷体" w:hAnsi="楷体" w:eastAsia="楷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本部分内容对当前电力安全总体情况和存在的问题进行了概述，分析了电力行业发展面临的新形势以及电力安全工作面临的新挑战和新机遇。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1.总体情况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sz w:val="32"/>
          <w:szCs w:val="32"/>
        </w:rPr>
        <w:t xml:space="preserve">各级安监机构得到进一步完善，安全生产组织体系更加巩固；安全工作规程和事故调查规程等规章制度有效实施，安全生产和建设有章可循并取得一定实效；《防止电力生产事故的二十五项重点要求》得到贯彻落实，电力系统安全稳定导则得到有效实施；应急体系取得巩固和发展；安全风险管控得到有效推广；安全性评价和企业本质安全建设进一步发展；事故总量逐年降低，安全生产整体态势良好。</w:t>
      </w:r>
      <w:r>
        <w:rPr>
          <w:rFonts w:hint="eastAsia" w:ascii="仿宋_GB2312" w:hAnsi="仿宋" w:eastAsia="仿宋_GB2312" w:cs="仿宋"/>
          <w:bCs/>
          <w:sz w:val="32"/>
          <w:szCs w:val="32"/>
        </w:rPr>
        <w:t xml:space="preserve">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2.存在问题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近年来，人身安全事故仍时有发生，个别事故导致的伤亡人数依然较大，电力生产和建设安全风险依旧将长期存在，</w:t>
      </w:r>
      <w:r>
        <w:rPr>
          <w:rFonts w:hint="eastAsia" w:ascii="仿宋_GB2312" w:hAnsi="仿宋" w:eastAsia="仿宋_GB2312"/>
          <w:sz w:val="32"/>
          <w:szCs w:val="32"/>
        </w:rPr>
        <w:t xml:space="preserve">部分单位安全意识、安全技能、安全保障仍显薄弱；部分企业安全生产主体责任履行不到位；安全监管体制机制有待进一步完善，齐抓共管局面尚未形成；双重预防机制没有实现全覆盖；电力行业技术监督有所削弱；承（分）包安全管理问题突出，部分电力建设项目轻质量、抢工期，存在较大安全风险；事故应急救援与保障能力依旧薄弱；安全诚信体系亟待建立，失信惩戒和守信激励机制尚未健全；安全文化引领作用尚未充分发挥。</w:t>
      </w:r>
      <w:r>
        <w:rPr>
          <w:rFonts w:hint="eastAsia" w:ascii="仿宋_GB2312" w:hAnsi="仿宋" w:eastAsia="仿宋_GB2312" w:cs="仿宋"/>
          <w:bCs/>
          <w:sz w:val="32"/>
          <w:szCs w:val="32"/>
        </w:rPr>
        <w:t xml:space="preserve">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3.新挑战与新机遇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2018～2020年，</w:t>
      </w:r>
      <w:r>
        <w:rPr>
          <w:rFonts w:hint="eastAsia" w:ascii="仿宋_GB2312" w:hAnsi="仿宋" w:eastAsia="仿宋_GB2312"/>
          <w:sz w:val="32"/>
          <w:szCs w:val="32"/>
        </w:rPr>
        <w:t xml:space="preserve">随着国家推进能源结构调整、供给侧和电力体制改革，安全生产将面临新挑战与新机遇。</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楷体" w:hAnsi="楷体" w:eastAsia="楷体" w:cs="仿宋"/>
          <w:bCs/>
          <w:sz w:val="32"/>
          <w:szCs w:val="32"/>
        </w:rPr>
      </w:pPr>
      <w:r>
        <w:rPr>
          <w:rFonts w:hint="eastAsia" w:ascii="楷体" w:hAnsi="楷体" w:eastAsia="楷体" w:cs="仿宋"/>
          <w:bCs/>
          <w:sz w:val="32"/>
          <w:szCs w:val="32"/>
        </w:rPr>
        <w:t xml:space="preserve">（二）指导思想、基本原则和目标</w:t>
      </w:r>
      <w:r>
        <w:rPr>
          <w:rFonts w:hint="eastAsia" w:ascii="楷体" w:hAnsi="楷体" w:eastAsia="楷体" w:cs="仿宋"/>
          <w:bCs/>
          <w:sz w:val="32"/>
          <w:szCs w:val="32"/>
        </w:rPr>
      </w:r>
      <w:r>
        <w:rPr>
          <w:rFonts w:hint="eastAsia" w:ascii="楷体" w:hAnsi="楷体" w:eastAsia="楷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本部分内容明确了行动计划编制的指导思想、基本原则以及到2020年的目标。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1.指导思想</w:t>
      </w:r>
      <w:r>
        <w:rPr>
          <w:rFonts w:hint="eastAsia" w:ascii="仿宋_GB2312" w:hAnsi="仿宋" w:eastAsia="仿宋_GB2312"/>
          <w:sz w:val="32"/>
          <w:szCs w:val="32"/>
        </w:rPr>
      </w:r>
      <w:r>
        <w:rPr>
          <w:rFonts w:hint="eastAsia" w:ascii="仿宋_GB2312" w:hAnsi="仿宋" w:eastAsia="仿宋_GB2312"/>
          <w:sz w:val="32"/>
          <w:szCs w:val="32"/>
        </w:rPr>
      </w:r>
    </w:p>
    <w:p>
      <w:pPr>
        <w:pStyle w:val="637"/>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以习近平新时代中国特色社会主义思想为指导，全面贯彻党的十九大精神，认真落实党中央、国务院关于安全生产工作的决策部署；牢固树立安全发展理念</w:t>
      </w:r>
      <w:r>
        <w:rPr>
          <w:rFonts w:hint="eastAsia" w:ascii="仿宋_GB2312" w:hAnsi="仿宋" w:eastAsia="仿宋_GB2312"/>
          <w:color w:val="000000"/>
          <w:sz w:val="32"/>
          <w:szCs w:val="32"/>
          <w:shd w:val="clear" w:color="auto" w:fill="ffffff"/>
        </w:rPr>
        <w:t xml:space="preserve">，落实电力安全生产责任，全面构建安全风险分级管控和隐患排查治理双重预防机制，不断推进本质安全建设，营造良好安全文化氛围，保持电力安全生产形势持续稳定</w:t>
      </w:r>
      <w:r>
        <w:rPr>
          <w:rFonts w:hint="eastAsia" w:ascii="仿宋_GB2312" w:hAnsi="仿宋" w:eastAsia="仿宋_GB2312"/>
          <w:sz w:val="32"/>
          <w:szCs w:val="32"/>
        </w:rPr>
        <w:t xml:space="preserve">，为决胜全面建成小康社会实现中国梦创造良好的电力安全环境。</w:t>
      </w:r>
      <w:r>
        <w:rPr>
          <w:rFonts w:hint="eastAsia" w:ascii="仿宋_GB2312" w:hAnsi="仿宋" w:eastAsia="仿宋_GB2312"/>
          <w:sz w:val="32"/>
          <w:szCs w:val="32"/>
        </w:rPr>
      </w:r>
      <w:r>
        <w:rPr>
          <w:rFonts w:hint="eastAsia" w:ascii="仿宋_GB2312" w:hAnsi="仿宋" w:eastAsia="仿宋_GB2312"/>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2.基本原则</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安全发展、源头防范、改革创新、协同共治、依法监管。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3.目标</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到</w:t>
      </w:r>
      <w:r>
        <w:rPr>
          <w:rFonts w:ascii="仿宋_GB2312" w:hAnsi="仿宋" w:eastAsia="仿宋_GB2312"/>
          <w:sz w:val="32"/>
          <w:szCs w:val="32"/>
        </w:rPr>
        <w:t xml:space="preserve">2020</w:t>
      </w:r>
      <w:r>
        <w:rPr>
          <w:rFonts w:hint="eastAsia" w:ascii="仿宋_GB2312" w:hAnsi="仿宋" w:eastAsia="仿宋_GB2312"/>
          <w:sz w:val="32"/>
          <w:szCs w:val="32"/>
        </w:rPr>
        <w:t xml:space="preserve">年，电力安全生产法律法规、制度、标准体系进一步优化完善；电力安全责任体系更加科学严密；电力安全监管体制机制进一步健全；电力安全技术水平和创新能力取得明显进步；电力安全保障能力进一步提高；安全文化建设进一步加强。杜绝重大以上电力人身伤亡责任事故、杜绝重大以上电力安全事故、杜绝电厂垮坝漫坝事故，防止主设备严重损坏事故、防止对社会造成重大影响事故，实现电力安全生产事故起数和伤亡人数进一步下降，确保电力系统安全稳定运行和电力可靠供应。</w:t>
      </w:r>
      <w:r>
        <w:rPr>
          <w:rFonts w:hint="eastAsia" w:ascii="仿宋_GB2312" w:hAnsi="仿宋" w:eastAsia="仿宋_GB2312"/>
          <w:sz w:val="32"/>
          <w:szCs w:val="32"/>
        </w:rPr>
      </w:r>
      <w:r>
        <w:rPr>
          <w:rFonts w:hint="eastAsia" w:ascii="仿宋_GB2312" w:hAnsi="仿宋" w:eastAsia="仿宋_GB2312"/>
          <w:sz w:val="32"/>
          <w:szCs w:val="32"/>
        </w:rPr>
      </w:r>
    </w:p>
    <w:p>
      <w:pPr>
        <w:pStyle w:val="637"/>
        <w:pBdr/>
        <w:spacing w:line="560" w:lineRule="exact"/>
        <w:ind w:firstLine="640"/>
        <w:rPr>
          <w:rFonts w:hint="eastAsia" w:ascii="楷体" w:hAnsi="楷体" w:eastAsia="楷体" w:cs="仿宋"/>
          <w:bCs/>
          <w:sz w:val="32"/>
          <w:szCs w:val="32"/>
        </w:rPr>
      </w:pPr>
      <w:r>
        <w:rPr>
          <w:rFonts w:hint="eastAsia" w:ascii="楷体" w:hAnsi="楷体" w:eastAsia="楷体" w:cs="仿宋"/>
          <w:bCs/>
          <w:sz w:val="32"/>
          <w:szCs w:val="32"/>
        </w:rPr>
        <w:t xml:space="preserve">（三）主要任务</w:t>
      </w:r>
      <w:r>
        <w:rPr>
          <w:rFonts w:hint="eastAsia" w:ascii="楷体" w:hAnsi="楷体" w:eastAsia="楷体" w:cs="仿宋"/>
          <w:bCs/>
          <w:sz w:val="32"/>
          <w:szCs w:val="32"/>
        </w:rPr>
      </w:r>
      <w:r>
        <w:rPr>
          <w:rFonts w:hint="eastAsia" w:ascii="楷体" w:hAnsi="楷体" w:eastAsia="楷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本部分作为行动计划的重点内容，共提出了8大任务，涉及防范人身安全事故、防范电网安全事故、防范设备安全事故、防范大坝安全事故、防范网络和信息安全事故、提高应急救援处置效力、构建更加严密的责任体系、强化安全生产依法治理8个方面的34项具体任务。</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1.防范人身安全事故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①牢固树立自觉安全行为意识；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②提升安全防护技能；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③建立完善安全生产环境；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④强化管理严禁不安全行为；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⑤强化基建人身安全管控。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2.防范电网安全事故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①加强电力系统规划；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②加快电网建设；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③加强电网运行管理；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④推进网源协调；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⑤加强电力设施保护。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3.防范设备安全事故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①加强设备质量源头管理；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②加强设备招标管理；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③加强设备运行与维护；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④加强可靠性管理；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⑤加强电力技术监督管理；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⑥加快设备技术改造。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4.防范大坝安全事故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①严格落实大坝安全“三同时”要求；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②加强大坝安全状况检查与评估；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③完善大坝应急管理。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5.防范网络和信息安全事故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①贯彻法律法规，强化防护体系；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②实现全面覆盖，加大整改力度；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③强化网络安全管理，规范安全评测评估；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④研究网络安全新技术，保障新型业务安全；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⑤建立网络安全审查制度，强化网络安全技术监督。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6.提高应急救援处置能力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①完善应急管理体制；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②健全应急管理机制；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③加强应急预案管理；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④加强应急处置能力建设。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7.完善更加严密的责任体系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①构建清晰责任体系；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②落实企业主体责任；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③落实电力安全监管责任；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④严格安全考核奖惩。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8.强化安全生产依法治理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①完善安全法规标准体系；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②加大安全监管执法力度。 </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楷体" w:hAnsi="楷体" w:eastAsia="楷体" w:cs="仿宋"/>
          <w:bCs/>
          <w:sz w:val="32"/>
          <w:szCs w:val="32"/>
        </w:rPr>
      </w:pPr>
      <w:r>
        <w:rPr>
          <w:rFonts w:hint="eastAsia" w:ascii="楷体" w:hAnsi="楷体" w:eastAsia="楷体" w:cs="仿宋"/>
          <w:bCs/>
          <w:sz w:val="32"/>
          <w:szCs w:val="32"/>
        </w:rPr>
        <w:t xml:space="preserve">（四）重点工程</w:t>
      </w:r>
      <w:r>
        <w:rPr>
          <w:rFonts w:hint="eastAsia" w:ascii="楷体" w:hAnsi="楷体" w:eastAsia="楷体" w:cs="仿宋"/>
          <w:bCs/>
          <w:sz w:val="32"/>
          <w:szCs w:val="32"/>
        </w:rPr>
      </w:r>
      <w:r>
        <w:rPr>
          <w:rFonts w:hint="eastAsia" w:ascii="楷体" w:hAnsi="楷体" w:eastAsia="楷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结合主要任务，提出了8项重点工程，分别是安全文化引领工程、安全诚信建设工程、安全风险管控体系构建工程、安全隐患排查治理提升工程、安全科技支撑工程、应急能力提升工程、员工安全素质提升工程、工程建设安全管理提升工程，其中每项工程配套有任务专栏，明确了重点工程中的具体任务。</w:t>
      </w:r>
      <w:r>
        <w:rPr>
          <w:rFonts w:hint="eastAsia" w:ascii="仿宋_GB2312" w:hAnsi="仿宋" w:eastAsia="仿宋_GB2312" w:cs="仿宋"/>
          <w:bCs/>
          <w:sz w:val="32"/>
          <w:szCs w:val="32"/>
        </w:rPr>
      </w:r>
      <w:r>
        <w:rPr>
          <w:rFonts w:hint="eastAsia" w:ascii="仿宋_GB2312" w:hAnsi="仿宋" w:eastAsia="仿宋_GB2312" w:cs="仿宋"/>
          <w:bCs/>
          <w:sz w:val="32"/>
          <w:szCs w:val="32"/>
        </w:rPr>
      </w:r>
    </w:p>
    <w:p>
      <w:pPr>
        <w:pStyle w:val="637"/>
        <w:pBdr/>
        <w:spacing w:line="560" w:lineRule="exact"/>
        <w:ind w:firstLine="640"/>
        <w:rPr>
          <w:rFonts w:hint="eastAsia" w:ascii="楷体" w:hAnsi="楷体" w:eastAsia="楷体" w:cs="仿宋"/>
          <w:bCs/>
          <w:sz w:val="32"/>
          <w:szCs w:val="32"/>
        </w:rPr>
      </w:pPr>
      <w:r>
        <w:rPr>
          <w:rFonts w:hint="eastAsia" w:ascii="楷体" w:hAnsi="楷体" w:eastAsia="楷体" w:cs="仿宋"/>
          <w:bCs/>
          <w:sz w:val="32"/>
          <w:szCs w:val="32"/>
        </w:rPr>
        <w:t xml:space="preserve">（五）实施保障</w:t>
      </w:r>
      <w:r>
        <w:rPr>
          <w:rFonts w:hint="eastAsia" w:ascii="楷体" w:hAnsi="楷体" w:eastAsia="楷体" w:cs="仿宋"/>
          <w:bCs/>
          <w:sz w:val="32"/>
          <w:szCs w:val="32"/>
        </w:rPr>
      </w:r>
      <w:r>
        <w:rPr>
          <w:rFonts w:hint="eastAsia" w:ascii="楷体" w:hAnsi="楷体" w:eastAsia="楷体" w:cs="仿宋"/>
          <w:bCs/>
          <w:sz w:val="32"/>
          <w:szCs w:val="32"/>
        </w:rPr>
      </w:r>
    </w:p>
    <w:p>
      <w:pPr>
        <w:pStyle w:val="637"/>
        <w:pBdr/>
        <w:spacing w:line="560" w:lineRule="exact"/>
        <w:ind w:firstLine="640"/>
        <w:rPr>
          <w:rFonts w:hint="eastAsia" w:ascii="仿宋_GB2312" w:hAnsi="仿宋" w:eastAsia="仿宋_GB2312" w:cs="仿宋"/>
          <w:bCs/>
          <w:sz w:val="32"/>
          <w:szCs w:val="32"/>
        </w:rPr>
      </w:pPr>
      <w:r>
        <w:rPr>
          <w:rFonts w:hint="eastAsia" w:ascii="仿宋_GB2312" w:hAnsi="仿宋" w:eastAsia="仿宋_GB2312" w:cs="仿宋"/>
          <w:bCs/>
          <w:sz w:val="32"/>
          <w:szCs w:val="32"/>
        </w:rPr>
        <w:t xml:space="preserve">为确保行动计划目标实现，本部分提出了5项行动计划实施保障措施，包括加强组织领导、加强人员保障、完善投入机制、加快技术创新、持续总结提高。</w:t>
      </w:r>
      <w:r>
        <w:rPr>
          <w:rFonts w:hint="eastAsia" w:ascii="仿宋_GB2312" w:hAnsi="仿宋" w:eastAsia="仿宋_GB2312" w:cs="仿宋"/>
          <w:bCs/>
          <w:sz w:val="32"/>
          <w:szCs w:val="32"/>
        </w:rPr>
      </w:r>
    </w:p>
    <w:sectPr>
      <w:footerReference w:type="default" r:id="rId8"/>
      <w:footnotePr/>
      <w:endnotePr/>
      <w:type w:val="nextPage"/>
      <w:pgSz w:h="16838" w:orient="landscape" w:w="11906"/>
      <w:pgMar w:top="2098" w:right="1531" w:bottom="1985" w:left="1531" w:header="851" w:footer="992" w:gutter="0"/>
      <w:cols w:num="1" w:sep="0" w:space="1701"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楷体">
    <w:panose1 w:val="02010609060101010101"/>
  </w:font>
  <w:font w:name="仿宋">
    <w:panose1 w:val="02010609060101010101"/>
  </w:font>
  <w:font w:name="仿宋_GB2312">
    <w:panose1 w:val="02010609060101010101"/>
  </w:font>
  <w:font w:name="方正小标宋简体">
    <w:panose1 w:val="020B0604020202020204"/>
  </w:font>
  <w:font w:name="黑体">
    <w:panose1 w:val="02010609060101010101"/>
  </w:font>
  <w:font w:name="Arial">
    <w:panose1 w:val="020B0604020202020204"/>
  </w:font>
  <w:font w:name="宋体">
    <w:panose1 w:val="02010600030101010101"/>
  </w:font>
  <w:font w:name="Times New Roman">
    <w:panose1 w:val="02020603050405020304"/>
  </w:font>
  <w:font w:name="等线">
    <w:panose1 w:val="020B06040202020202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646"/>
      <w:pBdr/>
      <w:tabs>
        <w:tab w:val="center" w:leader="none" w:pos="4153"/>
        <w:tab w:val="right" w:leader="none" w:pos="8306"/>
      </w:tabs>
      <w:spacing/>
      <w:ind/>
      <w:jc w:val="center"/>
      <w:rPr>
        <w:rFonts w:ascii="宋体" w:hAnsi="宋体"/>
        <w:sz w:val="28"/>
      </w:rPr>
    </w:pPr>
    <w:r>
      <w:rPr>
        <w:rFonts w:hint="eastAsia" w:ascii="宋体" w:hAnsi="宋体"/>
        <w:sz w:val="28"/>
      </w:rPr>
      <w:t xml:space="preserve">—</w:t>
    </w: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 xml:space="preserve">4</w:t>
    </w:r>
    <w:r>
      <w:rPr>
        <w:rFonts w:ascii="宋体" w:hAnsi="宋体"/>
        <w:sz w:val="28"/>
      </w:rPr>
      <w:fldChar w:fldCharType="end"/>
    </w:r>
    <w:r>
      <w:rPr>
        <w:rFonts w:hint="eastAsia" w:ascii="宋体" w:hAnsi="宋体"/>
        <w:sz w:val="28"/>
      </w:rPr>
      <w:t xml:space="preserve">—</w:t>
    </w:r>
    <w:r>
      <w:rPr>
        <w:rFonts w:ascii="宋体" w:hAnsi="宋体"/>
        <w:sz w:val="28"/>
      </w:rPr>
    </w:r>
    <w:r>
      <w:rPr>
        <w:rFonts w:ascii="宋体" w:hAnsi="宋体"/>
        <w:sz w:val="28"/>
      </w:rPr>
    </w:r>
  </w:p>
  <w:p>
    <w:pPr>
      <w:pStyle w:val="646"/>
      <w:pBdr/>
      <w:tabs>
        <w:tab w:val="center" w:leader="none" w:pos="4153"/>
        <w:tab w:val="right" w:leader="none" w:pos="8306"/>
      </w:tabs>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splitPgBreakAndParaMark w:val="tru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Calibri" w:hAnsi="Calibri"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37"/>
    <w:next w:val="637"/>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11"/>
    <w:link w:val="13"/>
    <w:uiPriority w:val="9"/>
    <w:pPr>
      <w:pBdr/>
      <w:spacing/>
      <w:ind/>
    </w:pPr>
    <w:rPr>
      <w:rFonts w:ascii="等线" w:hAnsi="等线" w:eastAsia="等线" w:cs="等线"/>
      <w:sz w:val="40"/>
      <w:szCs w:val="40"/>
    </w:rPr>
  </w:style>
  <w:style w:type="paragraph" w:styleId="15">
    <w:name w:val="Heading 2"/>
    <w:basedOn w:val="637"/>
    <w:next w:val="637"/>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11"/>
    <w:link w:val="15"/>
    <w:uiPriority w:val="9"/>
    <w:pPr>
      <w:pBdr/>
      <w:spacing/>
      <w:ind/>
    </w:pPr>
    <w:rPr>
      <w:rFonts w:ascii="等线" w:hAnsi="等线" w:eastAsia="等线" w:cs="等线"/>
      <w:sz w:val="34"/>
    </w:rPr>
  </w:style>
  <w:style w:type="paragraph" w:styleId="17">
    <w:name w:val="Heading 3"/>
    <w:basedOn w:val="637"/>
    <w:next w:val="637"/>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11"/>
    <w:link w:val="17"/>
    <w:uiPriority w:val="9"/>
    <w:pPr>
      <w:pBdr/>
      <w:spacing/>
      <w:ind/>
    </w:pPr>
    <w:rPr>
      <w:rFonts w:ascii="等线" w:hAnsi="等线" w:eastAsia="等线" w:cs="等线"/>
      <w:sz w:val="30"/>
      <w:szCs w:val="30"/>
    </w:rPr>
  </w:style>
  <w:style w:type="paragraph" w:styleId="19">
    <w:name w:val="Heading 4"/>
    <w:basedOn w:val="637"/>
    <w:next w:val="637"/>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11"/>
    <w:link w:val="19"/>
    <w:uiPriority w:val="9"/>
    <w:pPr>
      <w:pBdr/>
      <w:spacing/>
      <w:ind/>
    </w:pPr>
    <w:rPr>
      <w:rFonts w:ascii="等线" w:hAnsi="等线" w:eastAsia="等线" w:cs="等线"/>
      <w:b/>
      <w:bCs/>
      <w:sz w:val="26"/>
      <w:szCs w:val="26"/>
    </w:rPr>
  </w:style>
  <w:style w:type="paragraph" w:styleId="21">
    <w:name w:val="Heading 5"/>
    <w:basedOn w:val="637"/>
    <w:next w:val="637"/>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11"/>
    <w:link w:val="21"/>
    <w:uiPriority w:val="9"/>
    <w:pPr>
      <w:pBdr/>
      <w:spacing/>
      <w:ind/>
    </w:pPr>
    <w:rPr>
      <w:rFonts w:ascii="等线" w:hAnsi="等线" w:eastAsia="等线" w:cs="等线"/>
      <w:b/>
      <w:bCs/>
      <w:sz w:val="24"/>
      <w:szCs w:val="24"/>
    </w:rPr>
  </w:style>
  <w:style w:type="paragraph" w:styleId="23">
    <w:name w:val="Heading 6"/>
    <w:basedOn w:val="637"/>
    <w:next w:val="637"/>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11"/>
    <w:link w:val="23"/>
    <w:uiPriority w:val="9"/>
    <w:pPr>
      <w:pBdr/>
      <w:spacing/>
      <w:ind/>
    </w:pPr>
    <w:rPr>
      <w:rFonts w:ascii="等线" w:hAnsi="等线" w:eastAsia="等线" w:cs="等线"/>
      <w:b/>
      <w:bCs/>
      <w:sz w:val="22"/>
      <w:szCs w:val="22"/>
    </w:rPr>
  </w:style>
  <w:style w:type="paragraph" w:styleId="25">
    <w:name w:val="Heading 7"/>
    <w:basedOn w:val="637"/>
    <w:next w:val="637"/>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11"/>
    <w:link w:val="25"/>
    <w:uiPriority w:val="9"/>
    <w:pPr>
      <w:pBdr/>
      <w:spacing/>
      <w:ind/>
    </w:pPr>
    <w:rPr>
      <w:rFonts w:ascii="等线" w:hAnsi="等线" w:eastAsia="等线" w:cs="等线"/>
      <w:b/>
      <w:bCs/>
      <w:i/>
      <w:iCs/>
      <w:sz w:val="22"/>
      <w:szCs w:val="22"/>
    </w:rPr>
  </w:style>
  <w:style w:type="paragraph" w:styleId="27">
    <w:name w:val="Heading 8"/>
    <w:basedOn w:val="637"/>
    <w:next w:val="637"/>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11"/>
    <w:link w:val="27"/>
    <w:uiPriority w:val="9"/>
    <w:pPr>
      <w:pBdr/>
      <w:spacing/>
      <w:ind/>
    </w:pPr>
    <w:rPr>
      <w:rFonts w:ascii="等线" w:hAnsi="等线" w:eastAsia="等线" w:cs="等线"/>
      <w:i/>
      <w:iCs/>
      <w:sz w:val="22"/>
      <w:szCs w:val="22"/>
    </w:rPr>
  </w:style>
  <w:style w:type="paragraph" w:styleId="29">
    <w:name w:val="Heading 9"/>
    <w:basedOn w:val="637"/>
    <w:next w:val="637"/>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11"/>
    <w:link w:val="29"/>
    <w:uiPriority w:val="9"/>
    <w:pPr>
      <w:pBdr/>
      <w:spacing/>
      <w:ind/>
    </w:pPr>
    <w:rPr>
      <w:rFonts w:ascii="等线" w:hAnsi="等线" w:eastAsia="等线" w:cs="等线"/>
      <w:i/>
      <w:iCs/>
      <w:sz w:val="21"/>
      <w:szCs w:val="21"/>
    </w:rPr>
  </w:style>
  <w:style w:type="paragraph" w:styleId="31">
    <w:name w:val="List Paragraph"/>
    <w:basedOn w:val="637"/>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37"/>
    <w:next w:val="637"/>
    <w:link w:val="35"/>
    <w:uiPriority w:val="10"/>
    <w:qFormat/>
    <w:pPr>
      <w:pBdr/>
      <w:spacing w:after="200" w:before="300"/>
      <w:ind/>
      <w:contextualSpacing w:val="true"/>
    </w:pPr>
    <w:rPr>
      <w:sz w:val="48"/>
      <w:szCs w:val="48"/>
    </w:rPr>
  </w:style>
  <w:style w:type="character" w:styleId="35">
    <w:name w:val="Title Char"/>
    <w:basedOn w:val="11"/>
    <w:link w:val="34"/>
    <w:uiPriority w:val="10"/>
    <w:pPr>
      <w:pBdr/>
      <w:spacing/>
      <w:ind/>
    </w:pPr>
    <w:rPr>
      <w:sz w:val="48"/>
      <w:szCs w:val="48"/>
    </w:rPr>
  </w:style>
  <w:style w:type="paragraph" w:styleId="36">
    <w:name w:val="Subtitle"/>
    <w:basedOn w:val="637"/>
    <w:next w:val="637"/>
    <w:link w:val="37"/>
    <w:uiPriority w:val="11"/>
    <w:qFormat/>
    <w:pPr>
      <w:pBdr/>
      <w:spacing w:after="200" w:before="200"/>
      <w:ind/>
    </w:pPr>
    <w:rPr>
      <w:sz w:val="24"/>
      <w:szCs w:val="24"/>
    </w:rPr>
  </w:style>
  <w:style w:type="character" w:styleId="37">
    <w:name w:val="Subtitle Char"/>
    <w:basedOn w:val="11"/>
    <w:link w:val="36"/>
    <w:uiPriority w:val="11"/>
    <w:pPr>
      <w:pBdr/>
      <w:spacing/>
      <w:ind/>
    </w:pPr>
    <w:rPr>
      <w:sz w:val="24"/>
      <w:szCs w:val="24"/>
    </w:rPr>
  </w:style>
  <w:style w:type="paragraph" w:styleId="38">
    <w:name w:val="Quote"/>
    <w:basedOn w:val="637"/>
    <w:next w:val="637"/>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37"/>
    <w:next w:val="637"/>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paragraph" w:styleId="42">
    <w:name w:val="Header"/>
    <w:basedOn w:val="637"/>
    <w:link w:val="43"/>
    <w:uiPriority w:val="99"/>
    <w:unhideWhenUsed/>
    <w:pPr>
      <w:pBdr/>
      <w:tabs>
        <w:tab w:val="center" w:leader="none" w:pos="7143"/>
        <w:tab w:val="right" w:leader="none" w:pos="14287"/>
      </w:tabs>
      <w:spacing w:after="0" w:line="240" w:lineRule="auto"/>
      <w:ind/>
    </w:pPr>
  </w:style>
  <w:style w:type="character" w:styleId="43">
    <w:name w:val="Header Char"/>
    <w:basedOn w:val="11"/>
    <w:link w:val="42"/>
    <w:uiPriority w:val="99"/>
    <w:pPr>
      <w:pBdr/>
      <w:spacing/>
      <w:ind/>
    </w:pPr>
  </w:style>
  <w:style w:type="paragraph" w:styleId="44">
    <w:name w:val="Footer"/>
    <w:basedOn w:val="637"/>
    <w:link w:val="47"/>
    <w:uiPriority w:val="99"/>
    <w:unhideWhenUsed/>
    <w:pPr>
      <w:pBdr/>
      <w:tabs>
        <w:tab w:val="center" w:leader="none" w:pos="7143"/>
        <w:tab w:val="right" w:leader="none" w:pos="14287"/>
      </w:tabs>
      <w:spacing w:after="0" w:line="240" w:lineRule="auto"/>
      <w:ind/>
    </w:pPr>
  </w:style>
  <w:style w:type="character" w:styleId="45">
    <w:name w:val="Footer Char"/>
    <w:basedOn w:val="11"/>
    <w:link w:val="44"/>
    <w:uiPriority w:val="99"/>
    <w:pPr>
      <w:pBdr/>
      <w:spacing/>
      <w:ind/>
    </w:pPr>
  </w:style>
  <w:style w:type="paragraph" w:styleId="46">
    <w:name w:val="Caption"/>
    <w:basedOn w:val="637"/>
    <w:next w:val="637"/>
    <w:uiPriority w:val="35"/>
    <w:semiHidden/>
    <w:unhideWhenUsed/>
    <w:qFormat/>
    <w:pPr>
      <w:pBdr/>
      <w:spacing w:line="276" w:lineRule="auto"/>
      <w:ind/>
    </w:pPr>
    <w:rPr>
      <w:b/>
      <w:bCs/>
      <w:color w:val="4f81bd" w:themeColor="accent1"/>
      <w:sz w:val="18"/>
      <w:szCs w:val="18"/>
    </w:rPr>
  </w:style>
  <w:style w:type="character" w:styleId="47">
    <w:name w:val="Caption Char"/>
    <w:basedOn w:val="46"/>
    <w:link w:val="44"/>
    <w:uiPriority w:val="99"/>
    <w:pPr>
      <w:pBdr/>
      <w:spacing/>
      <w:ind/>
    </w:pPr>
  </w:style>
  <w:style w:type="table" w:styleId="48">
    <w:name w:val="Table Grid"/>
    <w:basedOn w:val="32"/>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32"/>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32"/>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32"/>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32"/>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3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32"/>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32"/>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32"/>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32"/>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32"/>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32"/>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32"/>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32"/>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32"/>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32"/>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3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32"/>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32"/>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32"/>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32"/>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32"/>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32"/>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3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32"/>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32"/>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32"/>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32"/>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32"/>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32"/>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32"/>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32"/>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32"/>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3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32"/>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32"/>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32"/>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32"/>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32"/>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32"/>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3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32"/>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32"/>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32"/>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32"/>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32"/>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32"/>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32"/>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32"/>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32"/>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32"/>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3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32"/>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32"/>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32"/>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32"/>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32"/>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32"/>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32"/>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32"/>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32"/>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32"/>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32"/>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32"/>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74">
    <w:name w:val="Hyperlink"/>
    <w:uiPriority w:val="99"/>
    <w:unhideWhenUsed/>
    <w:pPr>
      <w:pBdr/>
      <w:spacing/>
      <w:ind/>
    </w:pPr>
    <w:rPr>
      <w:color w:val="0000ff" w:themeColor="hyperlink"/>
      <w:u w:val="single"/>
    </w:rPr>
  </w:style>
  <w:style w:type="paragraph" w:styleId="175">
    <w:name w:val="footnote text"/>
    <w:basedOn w:val="637"/>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11"/>
    <w:uiPriority w:val="99"/>
    <w:unhideWhenUsed/>
    <w:pPr>
      <w:pBdr/>
      <w:spacing/>
      <w:ind/>
    </w:pPr>
    <w:rPr>
      <w:vertAlign w:val="superscript"/>
    </w:rPr>
  </w:style>
  <w:style w:type="paragraph" w:styleId="178">
    <w:name w:val="endnote text"/>
    <w:basedOn w:val="637"/>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11"/>
    <w:uiPriority w:val="99"/>
    <w:semiHidden/>
    <w:unhideWhenUsed/>
    <w:pPr>
      <w:pBdr/>
      <w:spacing/>
      <w:ind/>
    </w:pPr>
    <w:rPr>
      <w:vertAlign w:val="superscript"/>
    </w:rPr>
  </w:style>
  <w:style w:type="paragraph" w:styleId="181">
    <w:name w:val="toc 1"/>
    <w:basedOn w:val="637"/>
    <w:next w:val="637"/>
    <w:uiPriority w:val="39"/>
    <w:unhideWhenUsed/>
    <w:pPr>
      <w:pBdr/>
      <w:spacing w:after="57"/>
      <w:ind w:right="0" w:firstLine="0" w:left="0"/>
    </w:pPr>
  </w:style>
  <w:style w:type="paragraph" w:styleId="182">
    <w:name w:val="toc 2"/>
    <w:basedOn w:val="637"/>
    <w:next w:val="637"/>
    <w:uiPriority w:val="39"/>
    <w:unhideWhenUsed/>
    <w:pPr>
      <w:pBdr/>
      <w:spacing w:after="57"/>
      <w:ind w:right="0" w:firstLine="0" w:left="283"/>
    </w:pPr>
  </w:style>
  <w:style w:type="paragraph" w:styleId="183">
    <w:name w:val="toc 3"/>
    <w:basedOn w:val="637"/>
    <w:next w:val="637"/>
    <w:uiPriority w:val="39"/>
    <w:unhideWhenUsed/>
    <w:pPr>
      <w:pBdr/>
      <w:spacing w:after="57"/>
      <w:ind w:right="0" w:firstLine="0" w:left="567"/>
    </w:pPr>
  </w:style>
  <w:style w:type="paragraph" w:styleId="184">
    <w:name w:val="toc 4"/>
    <w:basedOn w:val="637"/>
    <w:next w:val="637"/>
    <w:uiPriority w:val="39"/>
    <w:unhideWhenUsed/>
    <w:pPr>
      <w:pBdr/>
      <w:spacing w:after="57"/>
      <w:ind w:right="0" w:firstLine="0" w:left="850"/>
    </w:pPr>
  </w:style>
  <w:style w:type="paragraph" w:styleId="185">
    <w:name w:val="toc 5"/>
    <w:basedOn w:val="637"/>
    <w:next w:val="637"/>
    <w:uiPriority w:val="39"/>
    <w:unhideWhenUsed/>
    <w:pPr>
      <w:pBdr/>
      <w:spacing w:after="57"/>
      <w:ind w:right="0" w:firstLine="0" w:left="1134"/>
    </w:pPr>
  </w:style>
  <w:style w:type="paragraph" w:styleId="186">
    <w:name w:val="toc 6"/>
    <w:basedOn w:val="637"/>
    <w:next w:val="637"/>
    <w:uiPriority w:val="39"/>
    <w:unhideWhenUsed/>
    <w:pPr>
      <w:pBdr/>
      <w:spacing w:after="57"/>
      <w:ind w:right="0" w:firstLine="0" w:left="1417"/>
    </w:pPr>
  </w:style>
  <w:style w:type="paragraph" w:styleId="187">
    <w:name w:val="toc 7"/>
    <w:basedOn w:val="637"/>
    <w:next w:val="637"/>
    <w:uiPriority w:val="39"/>
    <w:unhideWhenUsed/>
    <w:pPr>
      <w:pBdr/>
      <w:spacing w:after="57"/>
      <w:ind w:right="0" w:firstLine="0" w:left="1701"/>
    </w:pPr>
  </w:style>
  <w:style w:type="paragraph" w:styleId="188">
    <w:name w:val="toc 8"/>
    <w:basedOn w:val="637"/>
    <w:next w:val="637"/>
    <w:uiPriority w:val="39"/>
    <w:unhideWhenUsed/>
    <w:pPr>
      <w:pBdr/>
      <w:spacing w:after="57"/>
      <w:ind w:right="0" w:firstLine="0" w:left="1984"/>
    </w:pPr>
  </w:style>
  <w:style w:type="paragraph" w:styleId="189">
    <w:name w:val="toc 9"/>
    <w:basedOn w:val="637"/>
    <w:next w:val="637"/>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37"/>
    <w:next w:val="637"/>
    <w:uiPriority w:val="99"/>
    <w:unhideWhenUsed/>
    <w:pPr>
      <w:pBdr/>
      <w:spacing w:after="0" w:afterAutospacing="0"/>
      <w:ind/>
    </w:pPr>
  </w:style>
  <w:style w:type="paragraph" w:styleId="637" w:default="1">
    <w:name w:val="Normal"/>
    <w:next w:val="637"/>
    <w:link w:val="637"/>
    <w:qFormat/>
    <w:pPr>
      <w:widowControl w:val="false"/>
      <w:pBdr/>
      <w:spacing/>
      <w:ind/>
      <w:jc w:val="both"/>
    </w:pPr>
    <w:rPr>
      <w:sz w:val="21"/>
      <w:szCs w:val="22"/>
      <w:lang w:val="en-US" w:eastAsia="zh-CN" w:bidi="ar-SA"/>
    </w:rPr>
  </w:style>
  <w:style w:type="character" w:styleId="638">
    <w:name w:val="默认段落字体"/>
    <w:next w:val="638"/>
    <w:link w:val="637"/>
    <w:uiPriority w:val="1"/>
    <w:unhideWhenUsed/>
    <w:pPr>
      <w:pBdr/>
      <w:spacing/>
      <w:ind/>
    </w:pPr>
  </w:style>
  <w:style w:type="table" w:styleId="639">
    <w:name w:val="普通表格"/>
    <w:next w:val="639"/>
    <w:link w:val="637"/>
    <w:uiPriority w:val="99"/>
    <w:unhideWhenUsed/>
    <w:qFormat/>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640">
    <w:name w:val="页眉 Char"/>
    <w:basedOn w:val="638"/>
    <w:next w:val="640"/>
    <w:link w:val="643"/>
    <w:uiPriority w:val="99"/>
    <w:semiHidden/>
    <w:pPr>
      <w:pBdr/>
      <w:spacing/>
      <w:ind/>
    </w:pPr>
    <w:rPr>
      <w:sz w:val="18"/>
      <w:szCs w:val="18"/>
    </w:rPr>
  </w:style>
  <w:style w:type="character" w:styleId="641">
    <w:name w:val="批注框文本 Char"/>
    <w:basedOn w:val="638"/>
    <w:next w:val="641"/>
    <w:link w:val="647"/>
    <w:uiPriority w:val="99"/>
    <w:semiHidden/>
    <w:pPr>
      <w:pBdr/>
      <w:spacing/>
      <w:ind/>
    </w:pPr>
    <w:rPr>
      <w:sz w:val="18"/>
      <w:szCs w:val="18"/>
    </w:rPr>
  </w:style>
  <w:style w:type="character" w:styleId="642">
    <w:name w:val="页脚 Char"/>
    <w:basedOn w:val="638"/>
    <w:next w:val="642"/>
    <w:link w:val="646"/>
    <w:uiPriority w:val="99"/>
    <w:pPr>
      <w:pBdr/>
      <w:spacing/>
      <w:ind/>
    </w:pPr>
    <w:rPr>
      <w:sz w:val="18"/>
      <w:szCs w:val="18"/>
    </w:rPr>
  </w:style>
  <w:style w:type="paragraph" w:styleId="643">
    <w:name w:val="页眉"/>
    <w:basedOn w:val="637"/>
    <w:next w:val="643"/>
    <w:link w:val="640"/>
    <w:uiPriority w:val="99"/>
    <w:unhideWhenUsed/>
    <w:pPr>
      <w:pBdr>
        <w:bottom w:val="single" w:color="000000" w:sz="6" w:space="1"/>
      </w:pBdr>
      <w:tabs>
        <w:tab w:val="center" w:leader="none" w:pos="4153"/>
        <w:tab w:val="right" w:leader="none" w:pos="8306"/>
      </w:tabs>
      <w:spacing/>
      <w:ind/>
      <w:jc w:val="center"/>
    </w:pPr>
    <w:rPr>
      <w:sz w:val="18"/>
      <w:szCs w:val="18"/>
    </w:rPr>
  </w:style>
  <w:style w:type="paragraph" w:styleId="644">
    <w:name w:val="普通(网站)"/>
    <w:basedOn w:val="637"/>
    <w:next w:val="644"/>
    <w:link w:val="637"/>
    <w:uiPriority w:val="99"/>
    <w:unhideWhenUsed/>
    <w:pPr>
      <w:widowControl w:val="true"/>
      <w:pBdr/>
      <w:spacing w:after="100" w:afterAutospacing="1" w:before="100" w:beforeAutospacing="1"/>
      <w:ind/>
      <w:jc w:val="left"/>
    </w:pPr>
    <w:rPr>
      <w:rFonts w:ascii="宋体" w:hAnsi="宋体" w:eastAsia="宋体" w:cs="宋体"/>
      <w:sz w:val="24"/>
      <w:szCs w:val="24"/>
    </w:rPr>
  </w:style>
  <w:style w:type="paragraph" w:styleId="645">
    <w:name w:val="列出段落"/>
    <w:basedOn w:val="637"/>
    <w:next w:val="645"/>
    <w:link w:val="637"/>
    <w:uiPriority w:val="34"/>
    <w:qFormat/>
    <w:pPr>
      <w:pBdr/>
      <w:spacing/>
      <w:ind w:firstLine="420"/>
    </w:pPr>
  </w:style>
  <w:style w:type="paragraph" w:styleId="646">
    <w:name w:val="页脚"/>
    <w:basedOn w:val="637"/>
    <w:next w:val="646"/>
    <w:link w:val="642"/>
    <w:uiPriority w:val="99"/>
    <w:unhideWhenUsed/>
    <w:pPr>
      <w:pBdr/>
      <w:tabs>
        <w:tab w:val="center" w:leader="none" w:pos="4153"/>
        <w:tab w:val="right" w:leader="none" w:pos="8306"/>
      </w:tabs>
      <w:spacing/>
      <w:ind/>
      <w:jc w:val="left"/>
    </w:pPr>
    <w:rPr>
      <w:sz w:val="18"/>
      <w:szCs w:val="18"/>
    </w:rPr>
  </w:style>
  <w:style w:type="paragraph" w:styleId="647">
    <w:name w:val="批注框文本"/>
    <w:basedOn w:val="637"/>
    <w:next w:val="647"/>
    <w:link w:val="641"/>
    <w:uiPriority w:val="99"/>
    <w:unhideWhenUsed/>
    <w:pPr>
      <w:pBdr/>
      <w:spacing/>
      <w:ind/>
    </w:pPr>
    <w:rPr>
      <w:sz w:val="18"/>
      <w:szCs w:val="18"/>
    </w:rPr>
  </w:style>
  <w:style w:type="character" w:styleId="1050" w:default="1">
    <w:name w:val="Default Paragraph Font"/>
    <w:uiPriority w:val="1"/>
    <w:semiHidden/>
    <w:unhideWhenUsed/>
    <w:pPr>
      <w:pBdr/>
      <w:spacing/>
      <w:ind/>
    </w:pPr>
  </w:style>
  <w:style w:type="numbering" w:styleId="1051" w:default="1">
    <w:name w:val="No List"/>
    <w:uiPriority w:val="99"/>
    <w:semiHidden/>
    <w:unhideWhenUsed/>
    <w:pPr>
      <w:pBdr/>
      <w:spacing/>
      <w:ind/>
    </w:pPr>
  </w:style>
  <w:style w:type="table" w:styleId="1052" w:default="1">
    <w:name w:val="Normal Table"/>
    <w:uiPriority w:val="99"/>
    <w:semiHidden/>
    <w:unhideWhenUsed/>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chi</Company>
  <DocSecurity>0</DocSecurity>
  <ScaleCrop>false</ScaleCrop>
  <Template>Normal</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dc:creator>
  <cp:lastModifiedBy>匿名</cp:lastModifiedBy>
  <cp:revision>2</cp:revision>
  <dcterms:created xsi:type="dcterms:W3CDTF">2018-03-27T14:36:00Z</dcterms:created>
  <dcterms:modified xsi:type="dcterms:W3CDTF">2024-06-17T01:13:53Z</dcterms:modified>
</cp:coreProperties>
</file>