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20683">
      <w:pPr>
        <w:ind w:right="220"/>
        <w:jc w:val="left"/>
        <w:rPr>
          <w:rFonts w:ascii="仿宋_GB2312" w:hAnsi="华文中宋" w:eastAsia="仿宋_GB2312"/>
          <w:bCs/>
          <w:kern w:val="44"/>
          <w:sz w:val="20"/>
          <w:szCs w:val="24"/>
        </w:rPr>
      </w:pPr>
      <w:r>
        <w:rPr>
          <w:rFonts w:hint="eastAsia" w:ascii="仿宋_GB2312" w:hAnsi="华文中宋" w:eastAsia="仿宋_GB2312"/>
          <w:bCs/>
          <w:kern w:val="44"/>
          <w:sz w:val="32"/>
          <w:szCs w:val="44"/>
        </w:rPr>
        <w:t>附件：</w:t>
      </w:r>
    </w:p>
    <w:p w14:paraId="64E6E0E4">
      <w:pPr>
        <w:jc w:val="right"/>
        <w:rPr>
          <w:rFonts w:ascii="华文中宋" w:hAnsi="华文中宋" w:eastAsia="华文中宋"/>
          <w:b/>
          <w:bCs/>
          <w:kern w:val="44"/>
          <w:sz w:val="24"/>
          <w:szCs w:val="24"/>
        </w:rPr>
      </w:pPr>
      <w:r>
        <w:rPr>
          <w:rFonts w:hint="eastAsia" w:ascii="华文中宋" w:hAnsi="华文中宋" w:eastAsia="华文中宋"/>
          <w:b/>
          <w:bCs/>
          <w:kern w:val="44"/>
          <w:sz w:val="24"/>
          <w:szCs w:val="24"/>
        </w:rPr>
        <w:t xml:space="preserve">  </w:t>
      </w:r>
    </w:p>
    <w:p w14:paraId="1937922E">
      <w:pPr>
        <w:spacing w:line="360" w:lineRule="auto"/>
        <w:jc w:val="center"/>
        <w:rPr>
          <w:rFonts w:ascii="华文中宋" w:hAnsi="华文中宋" w:eastAsia="华文中宋"/>
          <w:b/>
          <w:bCs/>
          <w:kern w:val="44"/>
          <w:sz w:val="44"/>
          <w:szCs w:val="44"/>
        </w:rPr>
      </w:pPr>
    </w:p>
    <w:p w14:paraId="2E9C55E4">
      <w:pPr>
        <w:spacing w:line="360" w:lineRule="auto"/>
        <w:jc w:val="center"/>
        <w:rPr>
          <w:rFonts w:ascii="华文中宋" w:hAnsi="华文中宋" w:eastAsia="华文中宋"/>
          <w:b/>
          <w:bCs/>
          <w:kern w:val="44"/>
          <w:sz w:val="44"/>
          <w:szCs w:val="44"/>
        </w:rPr>
      </w:pPr>
    </w:p>
    <w:p w14:paraId="481ED757">
      <w:pPr>
        <w:spacing w:line="360" w:lineRule="auto"/>
        <w:jc w:val="center"/>
        <w:rPr>
          <w:rFonts w:ascii="华文中宋" w:hAnsi="华文中宋" w:eastAsia="华文中宋"/>
          <w:b/>
          <w:bCs/>
          <w:kern w:val="44"/>
          <w:sz w:val="44"/>
          <w:szCs w:val="44"/>
        </w:rPr>
      </w:pPr>
    </w:p>
    <w:p w14:paraId="0259C1E8">
      <w:pPr>
        <w:spacing w:line="360" w:lineRule="auto"/>
        <w:jc w:val="center"/>
        <w:rPr>
          <w:rFonts w:ascii="华文中宋" w:hAnsi="华文中宋" w:eastAsia="华文中宋"/>
          <w:sz w:val="44"/>
        </w:rPr>
      </w:pPr>
      <w:r>
        <w:rPr>
          <w:rFonts w:hint="eastAsia" w:ascii="华文中宋" w:hAnsi="华文中宋" w:eastAsia="华文中宋"/>
          <w:b/>
          <w:bCs/>
          <w:kern w:val="44"/>
          <w:sz w:val="44"/>
          <w:szCs w:val="44"/>
        </w:rPr>
        <w:t>生物质能发展“十三五”规划</w:t>
      </w:r>
    </w:p>
    <w:p w14:paraId="453F906A">
      <w:pPr>
        <w:spacing w:line="360" w:lineRule="auto"/>
        <w:jc w:val="center"/>
        <w:rPr>
          <w:sz w:val="36"/>
          <w:szCs w:val="36"/>
        </w:rPr>
      </w:pPr>
    </w:p>
    <w:p w14:paraId="09ADC39D">
      <w:pPr>
        <w:spacing w:line="360" w:lineRule="auto"/>
        <w:jc w:val="center"/>
        <w:rPr>
          <w:sz w:val="36"/>
          <w:szCs w:val="36"/>
        </w:rPr>
      </w:pPr>
    </w:p>
    <w:p w14:paraId="7DAE3971">
      <w:pPr>
        <w:spacing w:line="360" w:lineRule="auto"/>
        <w:jc w:val="center"/>
        <w:rPr>
          <w:sz w:val="36"/>
          <w:szCs w:val="36"/>
        </w:rPr>
      </w:pPr>
    </w:p>
    <w:p w14:paraId="70B4D22B">
      <w:pPr>
        <w:spacing w:line="360" w:lineRule="auto"/>
        <w:jc w:val="center"/>
        <w:rPr>
          <w:sz w:val="36"/>
          <w:szCs w:val="36"/>
        </w:rPr>
      </w:pPr>
    </w:p>
    <w:p w14:paraId="49BB507B">
      <w:pPr>
        <w:spacing w:line="360" w:lineRule="auto"/>
        <w:jc w:val="center"/>
        <w:rPr>
          <w:sz w:val="36"/>
          <w:szCs w:val="36"/>
        </w:rPr>
      </w:pPr>
    </w:p>
    <w:p w14:paraId="1647D84C">
      <w:pPr>
        <w:spacing w:line="360" w:lineRule="auto"/>
        <w:jc w:val="center"/>
        <w:rPr>
          <w:sz w:val="36"/>
          <w:szCs w:val="36"/>
        </w:rPr>
      </w:pPr>
    </w:p>
    <w:p w14:paraId="28B95143">
      <w:pPr>
        <w:spacing w:line="360" w:lineRule="auto"/>
        <w:jc w:val="center"/>
        <w:rPr>
          <w:sz w:val="36"/>
          <w:szCs w:val="36"/>
        </w:rPr>
      </w:pPr>
    </w:p>
    <w:p w14:paraId="0AE46D6D">
      <w:pPr>
        <w:spacing w:line="360" w:lineRule="auto"/>
        <w:jc w:val="center"/>
        <w:rPr>
          <w:sz w:val="36"/>
          <w:szCs w:val="36"/>
        </w:rPr>
      </w:pPr>
    </w:p>
    <w:p w14:paraId="4F011BD5">
      <w:pPr>
        <w:spacing w:line="360" w:lineRule="auto"/>
        <w:jc w:val="center"/>
        <w:rPr>
          <w:sz w:val="36"/>
          <w:szCs w:val="36"/>
        </w:rPr>
      </w:pPr>
    </w:p>
    <w:p w14:paraId="40B9F1B2">
      <w:pPr>
        <w:widowControl/>
        <w:spacing w:line="360" w:lineRule="auto"/>
        <w:jc w:val="center"/>
        <w:rPr>
          <w:rFonts w:ascii="黑体" w:hAnsi="黑体" w:eastAsia="黑体"/>
          <w:sz w:val="36"/>
          <w:szCs w:val="36"/>
        </w:rPr>
      </w:pPr>
      <w:r>
        <w:rPr>
          <w:rFonts w:hint="eastAsia" w:ascii="黑体" w:hAnsi="黑体" w:eastAsia="黑体"/>
          <w:sz w:val="36"/>
          <w:szCs w:val="36"/>
        </w:rPr>
        <w:t>国家能源局</w:t>
      </w:r>
    </w:p>
    <w:p w14:paraId="3199D4B9">
      <w:pPr>
        <w:widowControl/>
        <w:spacing w:line="360" w:lineRule="auto"/>
        <w:jc w:val="center"/>
        <w:rPr>
          <w:b/>
          <w:szCs w:val="36"/>
        </w:rPr>
      </w:pPr>
      <w:r>
        <w:rPr>
          <w:rFonts w:hint="eastAsia"/>
          <w:b/>
          <w:szCs w:val="36"/>
        </w:rPr>
        <w:t>2016</w:t>
      </w:r>
      <w:r>
        <w:rPr>
          <w:b/>
          <w:szCs w:val="36"/>
        </w:rPr>
        <w:t>年</w:t>
      </w:r>
      <w:r>
        <w:rPr>
          <w:rFonts w:hint="eastAsia"/>
          <w:b/>
          <w:szCs w:val="36"/>
        </w:rPr>
        <w:t>10</w:t>
      </w:r>
      <w:r>
        <w:rPr>
          <w:b/>
          <w:szCs w:val="36"/>
        </w:rPr>
        <w:t>月</w:t>
      </w:r>
    </w:p>
    <w:p w14:paraId="49C4EED3">
      <w:pPr>
        <w:spacing w:line="360" w:lineRule="auto"/>
        <w:jc w:val="center"/>
        <w:outlineLvl w:val="0"/>
        <w:rPr>
          <w:rFonts w:ascii="黑体" w:hAnsi="黑体" w:eastAsia="黑体"/>
          <w:sz w:val="36"/>
          <w:szCs w:val="36"/>
        </w:rPr>
      </w:pPr>
      <w:r>
        <w:rPr>
          <w:b/>
          <w:szCs w:val="36"/>
        </w:rPr>
        <w:br w:type="page"/>
      </w:r>
      <w:bookmarkStart w:id="0" w:name="_Toc309409149"/>
      <w:bookmarkStart w:id="1" w:name="_Toc457378366"/>
      <w:bookmarkStart w:id="2" w:name="_Toc309369376"/>
      <w:bookmarkStart w:id="3" w:name="_Toc309409224"/>
      <w:bookmarkStart w:id="4" w:name="_Toc454912382"/>
    </w:p>
    <w:p w14:paraId="11BACA47">
      <w:pPr>
        <w:spacing w:line="360" w:lineRule="auto"/>
        <w:jc w:val="center"/>
        <w:outlineLvl w:val="0"/>
        <w:rPr>
          <w:rFonts w:ascii="黑体" w:hAnsi="黑体" w:eastAsia="黑体"/>
          <w:b/>
          <w:sz w:val="36"/>
          <w:szCs w:val="36"/>
        </w:rPr>
      </w:pPr>
      <w:r>
        <w:rPr>
          <w:rFonts w:hint="eastAsia" w:ascii="黑体" w:hAnsi="黑体" w:eastAsia="黑体"/>
          <w:b/>
          <w:sz w:val="36"/>
          <w:szCs w:val="36"/>
        </w:rPr>
        <w:t>前</w:t>
      </w:r>
      <w:r>
        <w:rPr>
          <w:rFonts w:ascii="黑体" w:hAnsi="黑体" w:eastAsia="黑体"/>
          <w:b/>
          <w:sz w:val="36"/>
          <w:szCs w:val="36"/>
        </w:rPr>
        <w:t xml:space="preserve">   </w:t>
      </w:r>
      <w:r>
        <w:rPr>
          <w:rFonts w:hint="eastAsia" w:ascii="黑体" w:hAnsi="黑体" w:eastAsia="黑体"/>
          <w:b/>
          <w:sz w:val="36"/>
          <w:szCs w:val="36"/>
        </w:rPr>
        <w:t>言</w:t>
      </w:r>
      <w:bookmarkEnd w:id="0"/>
      <w:bookmarkEnd w:id="1"/>
      <w:bookmarkEnd w:id="2"/>
      <w:bookmarkEnd w:id="3"/>
      <w:bookmarkEnd w:id="4"/>
    </w:p>
    <w:p w14:paraId="19785CAF">
      <w:pPr>
        <w:spacing w:line="360" w:lineRule="auto"/>
        <w:jc w:val="center"/>
        <w:outlineLvl w:val="0"/>
        <w:rPr>
          <w:rFonts w:ascii="黑体" w:hAnsi="黑体" w:eastAsia="黑体"/>
          <w:sz w:val="36"/>
          <w:szCs w:val="36"/>
        </w:rPr>
      </w:pPr>
    </w:p>
    <w:p w14:paraId="2E653BBD">
      <w:pPr>
        <w:spacing w:line="620" w:lineRule="exact"/>
        <w:ind w:firstLine="640" w:firstLineChars="200"/>
        <w:rPr>
          <w:rFonts w:eastAsia="仿宋_GB2312"/>
          <w:sz w:val="32"/>
          <w:szCs w:val="32"/>
        </w:rPr>
      </w:pPr>
      <w:r>
        <w:rPr>
          <w:rFonts w:eastAsia="仿宋_GB2312"/>
          <w:sz w:val="32"/>
          <w:szCs w:val="32"/>
        </w:rPr>
        <w:t>生物质能是重要的可再生能源，具有</w:t>
      </w:r>
      <w:r>
        <w:rPr>
          <w:rFonts w:hint="eastAsia" w:eastAsia="仿宋_GB2312"/>
          <w:sz w:val="32"/>
          <w:szCs w:val="32"/>
        </w:rPr>
        <w:t>绿色、低碳、清洁、可再生等</w:t>
      </w:r>
      <w:r>
        <w:rPr>
          <w:rFonts w:eastAsia="仿宋_GB2312"/>
          <w:sz w:val="32"/>
          <w:szCs w:val="32"/>
        </w:rPr>
        <w:t>特点</w:t>
      </w:r>
      <w:r>
        <w:rPr>
          <w:rFonts w:hint="eastAsia" w:eastAsia="仿宋_GB2312"/>
          <w:sz w:val="32"/>
          <w:szCs w:val="32"/>
        </w:rPr>
        <w:t>。加快</w:t>
      </w:r>
      <w:r>
        <w:rPr>
          <w:rFonts w:eastAsia="仿宋_GB2312"/>
          <w:sz w:val="32"/>
          <w:szCs w:val="32"/>
        </w:rPr>
        <w:t>生物质能开发利用，是推进</w:t>
      </w:r>
      <w:r>
        <w:rPr>
          <w:rFonts w:hint="eastAsia" w:eastAsia="仿宋_GB2312"/>
          <w:sz w:val="32"/>
          <w:szCs w:val="32"/>
        </w:rPr>
        <w:t>能源生产和消费革命的重要内容，是</w:t>
      </w:r>
      <w:r>
        <w:rPr>
          <w:rFonts w:eastAsia="仿宋_GB2312"/>
          <w:sz w:val="32"/>
          <w:szCs w:val="32"/>
        </w:rPr>
        <w:t>改善环境质量</w:t>
      </w:r>
      <w:r>
        <w:rPr>
          <w:rFonts w:hint="eastAsia" w:eastAsia="仿宋_GB2312"/>
          <w:sz w:val="32"/>
          <w:szCs w:val="32"/>
        </w:rPr>
        <w:t>、</w:t>
      </w:r>
      <w:r>
        <w:rPr>
          <w:rFonts w:eastAsia="仿宋_GB2312"/>
          <w:sz w:val="32"/>
          <w:szCs w:val="32"/>
        </w:rPr>
        <w:t>发展循环经济的重要</w:t>
      </w:r>
      <w:r>
        <w:rPr>
          <w:rFonts w:hint="eastAsia" w:eastAsia="仿宋_GB2312"/>
          <w:sz w:val="32"/>
          <w:szCs w:val="32"/>
        </w:rPr>
        <w:t>任务</w:t>
      </w:r>
      <w:r>
        <w:rPr>
          <w:rFonts w:eastAsia="仿宋_GB2312"/>
          <w:sz w:val="32"/>
          <w:szCs w:val="32"/>
        </w:rPr>
        <w:t>。</w:t>
      </w:r>
    </w:p>
    <w:p w14:paraId="0FA5416B">
      <w:pPr>
        <w:spacing w:line="620" w:lineRule="exact"/>
        <w:ind w:firstLine="576" w:firstLineChars="180"/>
        <w:rPr>
          <w:rFonts w:eastAsia="仿宋_GB2312"/>
          <w:sz w:val="32"/>
          <w:szCs w:val="32"/>
        </w:rPr>
      </w:pPr>
      <w:r>
        <w:rPr>
          <w:rFonts w:hint="eastAsia" w:eastAsia="仿宋_GB2312"/>
          <w:sz w:val="32"/>
          <w:szCs w:val="32"/>
        </w:rPr>
        <w:t>“十二五”时期，我国生物质能产业发展较快，开发利用规模不断扩大，生物质发电和液体燃料形成一定规模。生物质成型燃料、生物天然气等发展已起步，呈现良好势头。“十三五”是实现能源转型升级的重要时期，是新型城镇化建设、生态文明建设、全面建成小康社会的关键时期，生物质能面临产业化发展的重要机遇。</w:t>
      </w:r>
      <w:r>
        <w:rPr>
          <w:rFonts w:eastAsia="仿宋_GB2312"/>
          <w:sz w:val="32"/>
          <w:szCs w:val="32"/>
        </w:rPr>
        <w:t>根据国家</w:t>
      </w:r>
      <w:r>
        <w:rPr>
          <w:rFonts w:hint="eastAsia" w:eastAsia="仿宋_GB2312"/>
          <w:sz w:val="32"/>
          <w:szCs w:val="32"/>
        </w:rPr>
        <w:t>《</w:t>
      </w:r>
      <w:r>
        <w:rPr>
          <w:rFonts w:eastAsia="仿宋_GB2312"/>
          <w:sz w:val="32"/>
          <w:szCs w:val="32"/>
        </w:rPr>
        <w:t>能源发展“十</w:t>
      </w:r>
      <w:r>
        <w:rPr>
          <w:rFonts w:hint="eastAsia" w:eastAsia="仿宋_GB2312"/>
          <w:sz w:val="32"/>
          <w:szCs w:val="32"/>
        </w:rPr>
        <w:t>三</w:t>
      </w:r>
      <w:r>
        <w:rPr>
          <w:rFonts w:eastAsia="仿宋_GB2312"/>
          <w:sz w:val="32"/>
          <w:szCs w:val="32"/>
        </w:rPr>
        <w:t>五”规划</w:t>
      </w:r>
      <w:r>
        <w:rPr>
          <w:rFonts w:hint="eastAsia" w:eastAsia="仿宋_GB2312"/>
          <w:sz w:val="32"/>
          <w:szCs w:val="32"/>
        </w:rPr>
        <w:t>》</w:t>
      </w:r>
      <w:r>
        <w:rPr>
          <w:rFonts w:eastAsia="仿宋_GB2312"/>
          <w:sz w:val="32"/>
          <w:szCs w:val="32"/>
        </w:rPr>
        <w:t>和</w:t>
      </w:r>
      <w:r>
        <w:rPr>
          <w:rFonts w:hint="eastAsia" w:eastAsia="仿宋_GB2312"/>
          <w:sz w:val="32"/>
          <w:szCs w:val="32"/>
        </w:rPr>
        <w:t>《</w:t>
      </w:r>
      <w:r>
        <w:rPr>
          <w:rFonts w:eastAsia="仿宋_GB2312"/>
          <w:sz w:val="32"/>
          <w:szCs w:val="32"/>
        </w:rPr>
        <w:t>可再生能源发展“十</w:t>
      </w:r>
      <w:r>
        <w:rPr>
          <w:rFonts w:hint="eastAsia" w:eastAsia="仿宋_GB2312"/>
          <w:sz w:val="32"/>
          <w:szCs w:val="32"/>
        </w:rPr>
        <w:t>三</w:t>
      </w:r>
      <w:r>
        <w:rPr>
          <w:rFonts w:eastAsia="仿宋_GB2312"/>
          <w:sz w:val="32"/>
          <w:szCs w:val="32"/>
        </w:rPr>
        <w:t>五”规划</w:t>
      </w:r>
      <w:r>
        <w:rPr>
          <w:rFonts w:hint="eastAsia" w:eastAsia="仿宋_GB2312"/>
          <w:sz w:val="32"/>
          <w:szCs w:val="32"/>
        </w:rPr>
        <w:t>》</w:t>
      </w:r>
      <w:r>
        <w:rPr>
          <w:rFonts w:eastAsia="仿宋_GB2312"/>
          <w:sz w:val="32"/>
          <w:szCs w:val="32"/>
        </w:rPr>
        <w:t>，制</w:t>
      </w:r>
      <w:r>
        <w:rPr>
          <w:rFonts w:hint="eastAsia" w:eastAsia="仿宋_GB2312"/>
          <w:sz w:val="32"/>
          <w:szCs w:val="32"/>
        </w:rPr>
        <w:t>定《</w:t>
      </w:r>
      <w:r>
        <w:rPr>
          <w:rFonts w:eastAsia="仿宋_GB2312"/>
          <w:sz w:val="32"/>
          <w:szCs w:val="32"/>
        </w:rPr>
        <w:t>生物质能</w:t>
      </w:r>
      <w:r>
        <w:rPr>
          <w:rFonts w:hint="eastAsia" w:eastAsia="仿宋_GB2312"/>
          <w:sz w:val="32"/>
          <w:szCs w:val="32"/>
        </w:rPr>
        <w:t>发展</w:t>
      </w:r>
      <w:r>
        <w:rPr>
          <w:rFonts w:eastAsia="仿宋_GB2312"/>
          <w:sz w:val="32"/>
          <w:szCs w:val="32"/>
        </w:rPr>
        <w:t xml:space="preserve"> “十</w:t>
      </w:r>
      <w:r>
        <w:rPr>
          <w:rFonts w:hint="eastAsia" w:eastAsia="仿宋_GB2312"/>
          <w:sz w:val="32"/>
          <w:szCs w:val="32"/>
        </w:rPr>
        <w:t>三</w:t>
      </w:r>
      <w:r>
        <w:rPr>
          <w:rFonts w:eastAsia="仿宋_GB2312"/>
          <w:sz w:val="32"/>
          <w:szCs w:val="32"/>
        </w:rPr>
        <w:t>五”规划</w:t>
      </w:r>
      <w:r>
        <w:rPr>
          <w:rFonts w:hint="eastAsia" w:eastAsia="仿宋_GB2312"/>
          <w:sz w:val="32"/>
          <w:szCs w:val="32"/>
        </w:rPr>
        <w:t>》（以下简称“《规划》”）</w:t>
      </w:r>
      <w:r>
        <w:rPr>
          <w:rFonts w:eastAsia="仿宋_GB2312"/>
          <w:sz w:val="32"/>
          <w:szCs w:val="32"/>
        </w:rPr>
        <w:t>。</w:t>
      </w:r>
    </w:p>
    <w:p w14:paraId="0E877CE4">
      <w:pPr>
        <w:spacing w:line="620" w:lineRule="exact"/>
        <w:ind w:firstLine="576" w:firstLineChars="180"/>
        <w:rPr>
          <w:rFonts w:eastAsia="仿宋_GB2312"/>
          <w:sz w:val="32"/>
          <w:szCs w:val="32"/>
        </w:rPr>
      </w:pPr>
      <w:r>
        <w:rPr>
          <w:rFonts w:hint="eastAsia" w:eastAsia="仿宋_GB2312"/>
          <w:sz w:val="32"/>
          <w:szCs w:val="32"/>
        </w:rPr>
        <w:t>《规划》分析了国内外生物质能发展现状，阐述了</w:t>
      </w:r>
      <w:r>
        <w:rPr>
          <w:rFonts w:hint="eastAsia" w:ascii="仿宋_GB2312" w:eastAsia="仿宋_GB2312"/>
          <w:sz w:val="32"/>
          <w:szCs w:val="32"/>
        </w:rPr>
        <w:t>“十三五”</w:t>
      </w:r>
      <w:r>
        <w:rPr>
          <w:rFonts w:eastAsia="仿宋_GB2312"/>
          <w:sz w:val="32"/>
          <w:szCs w:val="32"/>
        </w:rPr>
        <w:t>时期我国生物质能</w:t>
      </w:r>
      <w:r>
        <w:rPr>
          <w:rFonts w:hint="eastAsia" w:eastAsia="仿宋_GB2312"/>
          <w:sz w:val="32"/>
          <w:szCs w:val="32"/>
        </w:rPr>
        <w:t>产业</w:t>
      </w:r>
      <w:r>
        <w:rPr>
          <w:rFonts w:eastAsia="仿宋_GB2312"/>
          <w:sz w:val="32"/>
          <w:szCs w:val="32"/>
        </w:rPr>
        <w:t>发展的指导思想、基本原则、发展目标、</w:t>
      </w:r>
      <w:r>
        <w:rPr>
          <w:rFonts w:hint="eastAsia" w:eastAsia="仿宋_GB2312"/>
          <w:sz w:val="32"/>
          <w:szCs w:val="32"/>
        </w:rPr>
        <w:t>发展</w:t>
      </w:r>
      <w:r>
        <w:rPr>
          <w:rFonts w:eastAsia="仿宋_GB2312"/>
          <w:sz w:val="32"/>
          <w:szCs w:val="32"/>
        </w:rPr>
        <w:t>布局和建设重点，提出了</w:t>
      </w:r>
      <w:r>
        <w:rPr>
          <w:rFonts w:hint="eastAsia" w:eastAsia="仿宋_GB2312"/>
          <w:sz w:val="32"/>
          <w:szCs w:val="32"/>
        </w:rPr>
        <w:t>保障措施，是“十三五”时期</w:t>
      </w:r>
      <w:r>
        <w:rPr>
          <w:rFonts w:eastAsia="仿宋_GB2312"/>
          <w:sz w:val="32"/>
          <w:szCs w:val="32"/>
        </w:rPr>
        <w:t>我国生物质能</w:t>
      </w:r>
      <w:r>
        <w:rPr>
          <w:rFonts w:hint="eastAsia" w:eastAsia="仿宋_GB2312"/>
          <w:sz w:val="32"/>
          <w:szCs w:val="32"/>
        </w:rPr>
        <w:t>产业</w:t>
      </w:r>
      <w:r>
        <w:rPr>
          <w:rFonts w:eastAsia="仿宋_GB2312"/>
          <w:sz w:val="32"/>
          <w:szCs w:val="32"/>
        </w:rPr>
        <w:t>发展的</w:t>
      </w:r>
      <w:r>
        <w:rPr>
          <w:rFonts w:hint="eastAsia" w:eastAsia="仿宋_GB2312"/>
          <w:sz w:val="32"/>
          <w:szCs w:val="32"/>
        </w:rPr>
        <w:t>基本</w:t>
      </w:r>
      <w:r>
        <w:rPr>
          <w:rFonts w:eastAsia="仿宋_GB2312"/>
          <w:sz w:val="32"/>
          <w:szCs w:val="32"/>
        </w:rPr>
        <w:t>依据。</w:t>
      </w:r>
    </w:p>
    <w:p w14:paraId="1C65B93E">
      <w:pPr>
        <w:spacing w:line="620" w:lineRule="exact"/>
        <w:ind w:firstLine="576" w:firstLineChars="180"/>
        <w:rPr>
          <w:rFonts w:eastAsia="仿宋_GB2312"/>
          <w:sz w:val="32"/>
          <w:szCs w:val="32"/>
        </w:rPr>
      </w:pPr>
    </w:p>
    <w:p w14:paraId="54C0FF6B">
      <w:pPr>
        <w:widowControl/>
        <w:spacing w:line="360" w:lineRule="auto"/>
        <w:jc w:val="center"/>
        <w:rPr>
          <w:b/>
          <w:szCs w:val="36"/>
        </w:rPr>
      </w:pPr>
    </w:p>
    <w:p w14:paraId="6DB98719">
      <w:pPr>
        <w:widowControl/>
        <w:spacing w:line="360" w:lineRule="auto"/>
        <w:jc w:val="left"/>
        <w:rPr>
          <w:rFonts w:ascii="仿宋_GB2312" w:eastAsia="仿宋_GB2312"/>
          <w:b/>
          <w:sz w:val="24"/>
          <w:szCs w:val="24"/>
        </w:rPr>
        <w:sectPr>
          <w:headerReference r:id="rId3" w:type="default"/>
          <w:footerReference r:id="rId5" w:type="default"/>
          <w:headerReference r:id="rId4" w:type="even"/>
          <w:pgSz w:w="11906" w:h="16838"/>
          <w:pgMar w:top="1440" w:right="1800" w:bottom="1440" w:left="1800" w:header="851" w:footer="992" w:gutter="0"/>
          <w:cols w:space="425" w:num="1"/>
          <w:docGrid w:type="lines" w:linePitch="312" w:charSpace="0"/>
        </w:sectPr>
      </w:pPr>
      <w:r>
        <w:rPr>
          <w:rFonts w:hint="eastAsia" w:ascii="仿宋_GB2312" w:eastAsia="仿宋_GB2312"/>
          <w:b/>
          <w:sz w:val="24"/>
          <w:szCs w:val="24"/>
        </w:rPr>
        <w:t xml:space="preserve">  </w:t>
      </w:r>
    </w:p>
    <w:p w14:paraId="1B2C940A">
      <w:pPr>
        <w:pStyle w:val="38"/>
        <w:spacing w:line="360" w:lineRule="auto"/>
        <w:jc w:val="center"/>
        <w:rPr>
          <w:rFonts w:ascii="黑体" w:hAnsi="黑体" w:eastAsia="黑体"/>
          <w:color w:val="auto"/>
          <w:sz w:val="36"/>
        </w:rPr>
      </w:pPr>
      <w:r>
        <w:rPr>
          <w:rFonts w:ascii="黑体" w:hAnsi="黑体" w:eastAsia="黑体"/>
          <w:color w:val="auto"/>
          <w:sz w:val="36"/>
          <w:lang w:val="zh-CN"/>
        </w:rPr>
        <w:t>目</w:t>
      </w:r>
      <w:r>
        <w:rPr>
          <w:rFonts w:hint="eastAsia" w:ascii="黑体" w:hAnsi="黑体" w:eastAsia="黑体"/>
          <w:color w:val="auto"/>
          <w:sz w:val="36"/>
          <w:lang w:val="zh-CN"/>
        </w:rPr>
        <w:t xml:space="preserve">   </w:t>
      </w:r>
      <w:r>
        <w:rPr>
          <w:rFonts w:ascii="黑体" w:hAnsi="黑体" w:eastAsia="黑体"/>
          <w:color w:val="auto"/>
          <w:sz w:val="36"/>
          <w:lang w:val="zh-CN"/>
        </w:rPr>
        <w:t>录</w:t>
      </w:r>
    </w:p>
    <w:p w14:paraId="184BE26C">
      <w:pPr>
        <w:pStyle w:val="13"/>
        <w:rPr>
          <w:rFonts w:ascii="仿宋_GB2312" w:hAnsi="宋体" w:eastAsia="仿宋_GB2312"/>
          <w:b w:val="0"/>
          <w:bCs w:val="0"/>
          <w:caps w:val="0"/>
          <w:sz w:val="28"/>
          <w:szCs w:val="28"/>
        </w:rPr>
      </w:pPr>
      <w:r>
        <w:rPr>
          <w:rFonts w:hint="eastAsia" w:ascii="仿宋_GB2312" w:hAnsi="宋体" w:eastAsia="仿宋_GB2312"/>
          <w:sz w:val="32"/>
          <w:szCs w:val="32"/>
        </w:rPr>
        <w:fldChar w:fldCharType="begin"/>
      </w:r>
      <w:r>
        <w:rPr>
          <w:rFonts w:hint="eastAsia" w:ascii="仿宋_GB2312" w:hAnsi="宋体" w:eastAsia="仿宋_GB2312"/>
          <w:sz w:val="32"/>
          <w:szCs w:val="32"/>
        </w:rPr>
        <w:instrText xml:space="preserve"> TOC \o "1-3" \h \z \u </w:instrText>
      </w:r>
      <w:r>
        <w:rPr>
          <w:rFonts w:hint="eastAsia" w:ascii="仿宋_GB2312" w:hAnsi="宋体" w:eastAsia="仿宋_GB2312"/>
          <w:sz w:val="32"/>
          <w:szCs w:val="32"/>
        </w:rPr>
        <w:fldChar w:fldCharType="separate"/>
      </w:r>
      <w:r>
        <w:fldChar w:fldCharType="begin"/>
      </w:r>
      <w:r>
        <w:instrText xml:space="preserve"> HYPERLINK \l "_Toc457378367" </w:instrText>
      </w:r>
      <w:r>
        <w:fldChar w:fldCharType="separate"/>
      </w:r>
      <w:r>
        <w:rPr>
          <w:rStyle w:val="20"/>
          <w:rFonts w:hint="eastAsia" w:ascii="仿宋_GB2312" w:hAnsi="宋体" w:eastAsia="仿宋_GB2312"/>
          <w:sz w:val="28"/>
          <w:szCs w:val="28"/>
        </w:rPr>
        <w:t>一、发展现状和面临形势</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_Toc457378367 \h </w:instrText>
      </w:r>
      <w:r>
        <w:rPr>
          <w:rFonts w:hint="eastAsia" w:ascii="仿宋_GB2312" w:hAnsi="宋体" w:eastAsia="仿宋_GB2312"/>
          <w:sz w:val="28"/>
          <w:szCs w:val="28"/>
        </w:rPr>
        <w:fldChar w:fldCharType="separate"/>
      </w:r>
      <w:r>
        <w:rPr>
          <w:rFonts w:ascii="仿宋_GB2312" w:hAnsi="宋体" w:eastAsia="仿宋_GB2312"/>
          <w:sz w:val="28"/>
          <w:szCs w:val="28"/>
        </w:rPr>
        <w:t>1</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6C0D243D">
      <w:pPr>
        <w:pStyle w:val="15"/>
        <w:rPr>
          <w:rFonts w:ascii="仿宋_GB2312" w:hAnsi="宋体" w:eastAsia="仿宋_GB2312"/>
          <w:smallCaps w:val="0"/>
          <w:sz w:val="28"/>
          <w:szCs w:val="28"/>
        </w:rPr>
      </w:pPr>
      <w:r>
        <w:fldChar w:fldCharType="begin"/>
      </w:r>
      <w:r>
        <w:instrText xml:space="preserve"> HYPERLINK \l "_Toc457378368" </w:instrText>
      </w:r>
      <w:r>
        <w:fldChar w:fldCharType="separate"/>
      </w:r>
      <w:r>
        <w:rPr>
          <w:rStyle w:val="20"/>
          <w:rFonts w:hint="eastAsia" w:ascii="仿宋_GB2312" w:hAnsi="宋体" w:eastAsia="仿宋_GB2312"/>
          <w:sz w:val="28"/>
          <w:szCs w:val="28"/>
        </w:rPr>
        <w:t>（一）发展基础</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_Toc457378368 \h </w:instrText>
      </w:r>
      <w:r>
        <w:rPr>
          <w:rFonts w:hint="eastAsia" w:ascii="仿宋_GB2312" w:hAnsi="宋体" w:eastAsia="仿宋_GB2312"/>
          <w:sz w:val="28"/>
          <w:szCs w:val="28"/>
        </w:rPr>
        <w:fldChar w:fldCharType="separate"/>
      </w:r>
      <w:r>
        <w:rPr>
          <w:rFonts w:ascii="仿宋_GB2312" w:hAnsi="宋体" w:eastAsia="仿宋_GB2312"/>
          <w:sz w:val="28"/>
          <w:szCs w:val="28"/>
        </w:rPr>
        <w:t>1</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231C58C1">
      <w:pPr>
        <w:pStyle w:val="15"/>
        <w:rPr>
          <w:rFonts w:ascii="仿宋_GB2312" w:hAnsi="宋体" w:eastAsia="仿宋_GB2312"/>
          <w:smallCaps w:val="0"/>
          <w:sz w:val="28"/>
          <w:szCs w:val="28"/>
        </w:rPr>
      </w:pPr>
      <w:r>
        <w:fldChar w:fldCharType="begin"/>
      </w:r>
      <w:r>
        <w:instrText xml:space="preserve"> HYPERLINK \l "_Toc457378369" </w:instrText>
      </w:r>
      <w:r>
        <w:fldChar w:fldCharType="separate"/>
      </w:r>
      <w:r>
        <w:rPr>
          <w:rStyle w:val="20"/>
          <w:rFonts w:hint="eastAsia" w:ascii="仿宋_GB2312" w:hAnsi="宋体" w:eastAsia="仿宋_GB2312"/>
          <w:sz w:val="28"/>
          <w:szCs w:val="28"/>
        </w:rPr>
        <w:t>（二）存在问题</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_Toc457378369 \h </w:instrText>
      </w:r>
      <w:r>
        <w:rPr>
          <w:rFonts w:hint="eastAsia" w:ascii="仿宋_GB2312" w:hAnsi="宋体" w:eastAsia="仿宋_GB2312"/>
          <w:sz w:val="28"/>
          <w:szCs w:val="28"/>
        </w:rPr>
        <w:fldChar w:fldCharType="separate"/>
      </w:r>
      <w:r>
        <w:rPr>
          <w:rFonts w:ascii="仿宋_GB2312" w:hAnsi="宋体" w:eastAsia="仿宋_GB2312"/>
          <w:sz w:val="28"/>
          <w:szCs w:val="28"/>
        </w:rPr>
        <w:t>4</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0AAD124E">
      <w:pPr>
        <w:pStyle w:val="13"/>
        <w:rPr>
          <w:rFonts w:ascii="仿宋_GB2312" w:hAnsi="宋体" w:eastAsia="仿宋_GB2312"/>
          <w:b w:val="0"/>
          <w:bCs w:val="0"/>
          <w:caps w:val="0"/>
          <w:sz w:val="28"/>
          <w:szCs w:val="28"/>
        </w:rPr>
      </w:pPr>
      <w:r>
        <w:fldChar w:fldCharType="begin"/>
      </w:r>
      <w:r>
        <w:instrText xml:space="preserve"> HYPERLINK \l "_Toc457378370" </w:instrText>
      </w:r>
      <w:r>
        <w:fldChar w:fldCharType="separate"/>
      </w:r>
      <w:r>
        <w:rPr>
          <w:rStyle w:val="20"/>
          <w:rFonts w:hint="eastAsia" w:ascii="仿宋_GB2312" w:hAnsi="宋体" w:eastAsia="仿宋_GB2312"/>
          <w:sz w:val="28"/>
          <w:szCs w:val="28"/>
        </w:rPr>
        <w:t>二、指导思想和发展目标</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_Toc457378370 \h </w:instrText>
      </w:r>
      <w:r>
        <w:rPr>
          <w:rFonts w:hint="eastAsia" w:ascii="仿宋_GB2312" w:hAnsi="宋体" w:eastAsia="仿宋_GB2312"/>
          <w:sz w:val="28"/>
          <w:szCs w:val="28"/>
        </w:rPr>
        <w:fldChar w:fldCharType="separate"/>
      </w:r>
      <w:r>
        <w:rPr>
          <w:rFonts w:ascii="仿宋_GB2312" w:hAnsi="宋体" w:eastAsia="仿宋_GB2312"/>
          <w:sz w:val="28"/>
          <w:szCs w:val="28"/>
        </w:rPr>
        <w:t>6</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2EDAEDEA">
      <w:pPr>
        <w:pStyle w:val="15"/>
        <w:rPr>
          <w:rFonts w:ascii="仿宋_GB2312" w:hAnsi="宋体" w:eastAsia="仿宋_GB2312"/>
          <w:smallCaps w:val="0"/>
          <w:sz w:val="28"/>
          <w:szCs w:val="28"/>
        </w:rPr>
      </w:pPr>
      <w:r>
        <w:fldChar w:fldCharType="begin"/>
      </w:r>
      <w:r>
        <w:instrText xml:space="preserve"> HYPERLINK \l "_Toc457378371" </w:instrText>
      </w:r>
      <w:r>
        <w:fldChar w:fldCharType="separate"/>
      </w:r>
      <w:r>
        <w:rPr>
          <w:rStyle w:val="20"/>
          <w:rFonts w:hint="eastAsia" w:ascii="仿宋_GB2312" w:hAnsi="宋体" w:eastAsia="仿宋_GB2312"/>
          <w:sz w:val="28"/>
          <w:szCs w:val="28"/>
        </w:rPr>
        <w:t>（一）指导思想</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_Toc457378371 \h </w:instrText>
      </w:r>
      <w:r>
        <w:rPr>
          <w:rFonts w:hint="eastAsia" w:ascii="仿宋_GB2312" w:hAnsi="宋体" w:eastAsia="仿宋_GB2312"/>
          <w:sz w:val="28"/>
          <w:szCs w:val="28"/>
        </w:rPr>
        <w:fldChar w:fldCharType="separate"/>
      </w:r>
      <w:r>
        <w:rPr>
          <w:rFonts w:ascii="仿宋_GB2312" w:hAnsi="宋体" w:eastAsia="仿宋_GB2312"/>
          <w:sz w:val="28"/>
          <w:szCs w:val="28"/>
        </w:rPr>
        <w:t>6</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56263B20">
      <w:pPr>
        <w:pStyle w:val="15"/>
        <w:rPr>
          <w:rFonts w:ascii="仿宋_GB2312" w:hAnsi="宋体" w:eastAsia="仿宋_GB2312"/>
          <w:smallCaps w:val="0"/>
          <w:sz w:val="28"/>
          <w:szCs w:val="28"/>
        </w:rPr>
      </w:pPr>
      <w:r>
        <w:fldChar w:fldCharType="begin"/>
      </w:r>
      <w:r>
        <w:instrText xml:space="preserve"> HYPERLINK \l "_Toc457378372" </w:instrText>
      </w:r>
      <w:r>
        <w:fldChar w:fldCharType="separate"/>
      </w:r>
      <w:r>
        <w:rPr>
          <w:rStyle w:val="20"/>
          <w:rFonts w:hint="eastAsia" w:ascii="仿宋_GB2312" w:hAnsi="宋体" w:eastAsia="仿宋_GB2312"/>
          <w:sz w:val="28"/>
          <w:szCs w:val="28"/>
        </w:rPr>
        <w:t>（二）基本原则</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_Toc457378372 \h </w:instrText>
      </w:r>
      <w:r>
        <w:rPr>
          <w:rFonts w:hint="eastAsia" w:ascii="仿宋_GB2312" w:hAnsi="宋体" w:eastAsia="仿宋_GB2312"/>
          <w:sz w:val="28"/>
          <w:szCs w:val="28"/>
        </w:rPr>
        <w:fldChar w:fldCharType="separate"/>
      </w:r>
      <w:r>
        <w:rPr>
          <w:rFonts w:ascii="仿宋_GB2312" w:hAnsi="宋体" w:eastAsia="仿宋_GB2312"/>
          <w:sz w:val="28"/>
          <w:szCs w:val="28"/>
        </w:rPr>
        <w:t>6</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5E4829E9">
      <w:pPr>
        <w:pStyle w:val="15"/>
        <w:rPr>
          <w:rFonts w:ascii="仿宋_GB2312" w:hAnsi="宋体" w:eastAsia="仿宋_GB2312"/>
          <w:smallCaps w:val="0"/>
          <w:sz w:val="28"/>
          <w:szCs w:val="28"/>
        </w:rPr>
      </w:pPr>
      <w:r>
        <w:fldChar w:fldCharType="begin"/>
      </w:r>
      <w:r>
        <w:instrText xml:space="preserve"> HYPERLINK \l "_Toc457378373" </w:instrText>
      </w:r>
      <w:r>
        <w:fldChar w:fldCharType="separate"/>
      </w:r>
      <w:r>
        <w:rPr>
          <w:rStyle w:val="20"/>
          <w:rFonts w:hint="eastAsia" w:ascii="仿宋_GB2312" w:hAnsi="宋体" w:eastAsia="仿宋_GB2312"/>
          <w:sz w:val="28"/>
          <w:szCs w:val="28"/>
        </w:rPr>
        <w:t>（三）发展目标</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_Toc457378373 \h </w:instrText>
      </w:r>
      <w:r>
        <w:rPr>
          <w:rFonts w:hint="eastAsia" w:ascii="仿宋_GB2312" w:hAnsi="宋体" w:eastAsia="仿宋_GB2312"/>
          <w:sz w:val="28"/>
          <w:szCs w:val="28"/>
        </w:rPr>
        <w:fldChar w:fldCharType="separate"/>
      </w:r>
      <w:r>
        <w:rPr>
          <w:rFonts w:ascii="仿宋_GB2312" w:hAnsi="宋体" w:eastAsia="仿宋_GB2312"/>
          <w:sz w:val="28"/>
          <w:szCs w:val="28"/>
        </w:rPr>
        <w:t>7</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0ADABA03">
      <w:pPr>
        <w:pStyle w:val="13"/>
        <w:rPr>
          <w:rFonts w:ascii="仿宋_GB2312" w:hAnsi="宋体" w:eastAsia="仿宋_GB2312"/>
          <w:b w:val="0"/>
          <w:bCs w:val="0"/>
          <w:caps w:val="0"/>
          <w:sz w:val="28"/>
          <w:szCs w:val="28"/>
        </w:rPr>
      </w:pPr>
      <w:r>
        <w:fldChar w:fldCharType="begin"/>
      </w:r>
      <w:r>
        <w:instrText xml:space="preserve"> HYPERLINK \l "_Toc457378374" </w:instrText>
      </w:r>
      <w:r>
        <w:fldChar w:fldCharType="separate"/>
      </w:r>
      <w:r>
        <w:rPr>
          <w:rStyle w:val="20"/>
          <w:rFonts w:hint="eastAsia" w:ascii="仿宋_GB2312" w:hAnsi="宋体" w:eastAsia="仿宋_GB2312"/>
          <w:sz w:val="28"/>
          <w:szCs w:val="28"/>
        </w:rPr>
        <w:t>三、发展布局和建设重点</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_Toc457378374 \h </w:instrText>
      </w:r>
      <w:r>
        <w:rPr>
          <w:rFonts w:hint="eastAsia" w:ascii="仿宋_GB2312" w:hAnsi="宋体" w:eastAsia="仿宋_GB2312"/>
          <w:sz w:val="28"/>
          <w:szCs w:val="28"/>
        </w:rPr>
        <w:fldChar w:fldCharType="separate"/>
      </w:r>
      <w:r>
        <w:rPr>
          <w:rFonts w:ascii="仿宋_GB2312" w:hAnsi="宋体" w:eastAsia="仿宋_GB2312"/>
          <w:sz w:val="28"/>
          <w:szCs w:val="28"/>
        </w:rPr>
        <w:t>9</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0066BB0E">
      <w:pPr>
        <w:pStyle w:val="15"/>
        <w:rPr>
          <w:rFonts w:ascii="仿宋_GB2312" w:hAnsi="宋体" w:eastAsia="仿宋_GB2312"/>
          <w:smallCaps w:val="0"/>
          <w:sz w:val="28"/>
          <w:szCs w:val="28"/>
        </w:rPr>
      </w:pPr>
      <w:r>
        <w:fldChar w:fldCharType="begin"/>
      </w:r>
      <w:r>
        <w:instrText xml:space="preserve"> HYPERLINK \l "_Toc457378375" </w:instrText>
      </w:r>
      <w:r>
        <w:fldChar w:fldCharType="separate"/>
      </w:r>
      <w:r>
        <w:rPr>
          <w:rStyle w:val="20"/>
          <w:rFonts w:hint="eastAsia" w:ascii="仿宋_GB2312" w:hAnsi="宋体" w:eastAsia="仿宋_GB2312"/>
          <w:sz w:val="28"/>
          <w:szCs w:val="28"/>
        </w:rPr>
        <w:t>（一）大力推动生物天然气规模化发展</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_Toc457378375 \h </w:instrText>
      </w:r>
      <w:r>
        <w:rPr>
          <w:rFonts w:hint="eastAsia" w:ascii="仿宋_GB2312" w:hAnsi="宋体" w:eastAsia="仿宋_GB2312"/>
          <w:sz w:val="28"/>
          <w:szCs w:val="28"/>
        </w:rPr>
        <w:fldChar w:fldCharType="separate"/>
      </w:r>
      <w:r>
        <w:rPr>
          <w:rFonts w:ascii="仿宋_GB2312" w:hAnsi="宋体" w:eastAsia="仿宋_GB2312"/>
          <w:sz w:val="28"/>
          <w:szCs w:val="28"/>
        </w:rPr>
        <w:t>9</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14791AC3">
      <w:pPr>
        <w:pStyle w:val="15"/>
        <w:rPr>
          <w:rStyle w:val="20"/>
          <w:rFonts w:ascii="仿宋_GB2312" w:hAnsi="宋体" w:eastAsia="仿宋_GB2312"/>
          <w:sz w:val="28"/>
          <w:szCs w:val="28"/>
        </w:rPr>
      </w:pPr>
      <w:r>
        <w:fldChar w:fldCharType="begin"/>
      </w:r>
      <w:r>
        <w:instrText xml:space="preserve"> HYPERLINK \l "_Toc457378376" </w:instrText>
      </w:r>
      <w:r>
        <w:fldChar w:fldCharType="separate"/>
      </w:r>
      <w:r>
        <w:rPr>
          <w:rStyle w:val="20"/>
          <w:rFonts w:hint="eastAsia" w:ascii="仿宋_GB2312" w:hAnsi="宋体" w:eastAsia="仿宋_GB2312"/>
          <w:sz w:val="28"/>
          <w:szCs w:val="28"/>
        </w:rPr>
        <w:t>（二）积极发展生物质成型燃料供热</w:t>
      </w:r>
      <w:r>
        <w:rPr>
          <w:rStyle w:val="20"/>
          <w:rFonts w:hint="eastAsia" w:ascii="仿宋_GB2312" w:hAnsi="宋体" w:eastAsia="仿宋_GB2312"/>
          <w:sz w:val="28"/>
          <w:szCs w:val="28"/>
        </w:rPr>
        <w:tab/>
      </w:r>
      <w:r>
        <w:rPr>
          <w:rStyle w:val="20"/>
          <w:rFonts w:hint="eastAsia" w:ascii="仿宋_GB2312" w:hAnsi="宋体" w:eastAsia="仿宋_GB2312"/>
          <w:sz w:val="28"/>
          <w:szCs w:val="28"/>
        </w:rPr>
        <w:fldChar w:fldCharType="begin"/>
      </w:r>
      <w:r>
        <w:rPr>
          <w:rStyle w:val="20"/>
          <w:rFonts w:hint="eastAsia" w:ascii="仿宋_GB2312" w:hAnsi="宋体" w:eastAsia="仿宋_GB2312"/>
          <w:sz w:val="28"/>
          <w:szCs w:val="28"/>
        </w:rPr>
        <w:instrText xml:space="preserve"> PAGEREF _Toc457378376 \h </w:instrText>
      </w:r>
      <w:r>
        <w:rPr>
          <w:rStyle w:val="20"/>
          <w:rFonts w:hint="eastAsia" w:ascii="仿宋_GB2312" w:hAnsi="宋体" w:eastAsia="仿宋_GB2312"/>
          <w:sz w:val="28"/>
          <w:szCs w:val="28"/>
        </w:rPr>
        <w:fldChar w:fldCharType="separate"/>
      </w:r>
      <w:r>
        <w:rPr>
          <w:rStyle w:val="20"/>
          <w:rFonts w:ascii="仿宋_GB2312" w:hAnsi="宋体" w:eastAsia="仿宋_GB2312"/>
          <w:sz w:val="28"/>
          <w:szCs w:val="28"/>
        </w:rPr>
        <w:t>12</w:t>
      </w:r>
      <w:r>
        <w:rPr>
          <w:rStyle w:val="20"/>
          <w:rFonts w:hint="eastAsia" w:ascii="仿宋_GB2312" w:hAnsi="宋体" w:eastAsia="仿宋_GB2312"/>
          <w:sz w:val="28"/>
          <w:szCs w:val="28"/>
        </w:rPr>
        <w:fldChar w:fldCharType="end"/>
      </w:r>
      <w:r>
        <w:rPr>
          <w:rStyle w:val="20"/>
          <w:rFonts w:hint="eastAsia" w:ascii="仿宋_GB2312" w:hAnsi="宋体" w:eastAsia="仿宋_GB2312"/>
          <w:sz w:val="28"/>
          <w:szCs w:val="28"/>
        </w:rPr>
        <w:fldChar w:fldCharType="end"/>
      </w:r>
    </w:p>
    <w:p w14:paraId="0C8E7B79">
      <w:pPr>
        <w:pStyle w:val="15"/>
        <w:rPr>
          <w:rStyle w:val="20"/>
          <w:rFonts w:ascii="仿宋_GB2312" w:hAnsi="宋体" w:eastAsia="仿宋_GB2312"/>
          <w:sz w:val="28"/>
          <w:szCs w:val="28"/>
        </w:rPr>
      </w:pPr>
      <w:r>
        <w:fldChar w:fldCharType="begin"/>
      </w:r>
      <w:r>
        <w:instrText xml:space="preserve"> HYPERLINK \l "_Toc457378377" </w:instrText>
      </w:r>
      <w:r>
        <w:fldChar w:fldCharType="separate"/>
      </w:r>
      <w:r>
        <w:rPr>
          <w:rStyle w:val="20"/>
          <w:rFonts w:hint="eastAsia" w:ascii="仿宋_GB2312" w:hAnsi="宋体" w:eastAsia="仿宋_GB2312"/>
          <w:sz w:val="28"/>
          <w:szCs w:val="28"/>
        </w:rPr>
        <w:t>（三）稳步发展生物质发电</w:t>
      </w:r>
      <w:r>
        <w:rPr>
          <w:rStyle w:val="20"/>
          <w:rFonts w:hint="eastAsia" w:ascii="仿宋_GB2312" w:hAnsi="宋体" w:eastAsia="仿宋_GB2312"/>
          <w:sz w:val="28"/>
          <w:szCs w:val="28"/>
        </w:rPr>
        <w:tab/>
      </w:r>
      <w:r>
        <w:rPr>
          <w:rStyle w:val="20"/>
          <w:rFonts w:hint="eastAsia" w:ascii="仿宋_GB2312" w:hAnsi="宋体" w:eastAsia="仿宋_GB2312"/>
          <w:sz w:val="28"/>
          <w:szCs w:val="28"/>
        </w:rPr>
        <w:fldChar w:fldCharType="begin"/>
      </w:r>
      <w:r>
        <w:rPr>
          <w:rStyle w:val="20"/>
          <w:rFonts w:hint="eastAsia" w:ascii="仿宋_GB2312" w:hAnsi="宋体" w:eastAsia="仿宋_GB2312"/>
          <w:sz w:val="28"/>
          <w:szCs w:val="28"/>
        </w:rPr>
        <w:instrText xml:space="preserve"> PAGEREF _Toc457378377 \h </w:instrText>
      </w:r>
      <w:r>
        <w:rPr>
          <w:rStyle w:val="20"/>
          <w:rFonts w:hint="eastAsia" w:ascii="仿宋_GB2312" w:hAnsi="宋体" w:eastAsia="仿宋_GB2312"/>
          <w:sz w:val="28"/>
          <w:szCs w:val="28"/>
        </w:rPr>
        <w:fldChar w:fldCharType="separate"/>
      </w:r>
      <w:r>
        <w:rPr>
          <w:rStyle w:val="20"/>
          <w:rFonts w:ascii="仿宋_GB2312" w:hAnsi="宋体" w:eastAsia="仿宋_GB2312"/>
          <w:sz w:val="28"/>
          <w:szCs w:val="28"/>
        </w:rPr>
        <w:t>13</w:t>
      </w:r>
      <w:r>
        <w:rPr>
          <w:rStyle w:val="20"/>
          <w:rFonts w:hint="eastAsia" w:ascii="仿宋_GB2312" w:hAnsi="宋体" w:eastAsia="仿宋_GB2312"/>
          <w:sz w:val="28"/>
          <w:szCs w:val="28"/>
        </w:rPr>
        <w:fldChar w:fldCharType="end"/>
      </w:r>
      <w:r>
        <w:rPr>
          <w:rStyle w:val="20"/>
          <w:rFonts w:hint="eastAsia" w:ascii="仿宋_GB2312" w:hAnsi="宋体" w:eastAsia="仿宋_GB2312"/>
          <w:sz w:val="28"/>
          <w:szCs w:val="28"/>
        </w:rPr>
        <w:fldChar w:fldCharType="end"/>
      </w:r>
    </w:p>
    <w:p w14:paraId="12F5A4AB">
      <w:pPr>
        <w:pStyle w:val="15"/>
        <w:rPr>
          <w:rStyle w:val="20"/>
          <w:rFonts w:ascii="仿宋_GB2312" w:hAnsi="宋体" w:eastAsia="仿宋_GB2312"/>
          <w:sz w:val="28"/>
          <w:szCs w:val="28"/>
        </w:rPr>
      </w:pPr>
      <w:r>
        <w:fldChar w:fldCharType="begin"/>
      </w:r>
      <w:r>
        <w:instrText xml:space="preserve"> HYPERLINK \l "_Toc457378378" </w:instrText>
      </w:r>
      <w:r>
        <w:fldChar w:fldCharType="separate"/>
      </w:r>
      <w:r>
        <w:rPr>
          <w:rStyle w:val="20"/>
          <w:rFonts w:hint="eastAsia" w:ascii="仿宋_GB2312" w:hAnsi="宋体" w:eastAsia="仿宋_GB2312"/>
          <w:sz w:val="28"/>
          <w:szCs w:val="28"/>
        </w:rPr>
        <w:t>（四）加快生物液体燃料示范和推广</w:t>
      </w:r>
      <w:r>
        <w:rPr>
          <w:rStyle w:val="20"/>
          <w:rFonts w:hint="eastAsia" w:ascii="仿宋_GB2312" w:hAnsi="宋体" w:eastAsia="仿宋_GB2312"/>
          <w:sz w:val="28"/>
          <w:szCs w:val="28"/>
        </w:rPr>
        <w:tab/>
      </w:r>
      <w:r>
        <w:rPr>
          <w:rStyle w:val="20"/>
          <w:rFonts w:hint="eastAsia" w:ascii="仿宋_GB2312" w:hAnsi="宋体" w:eastAsia="仿宋_GB2312"/>
          <w:sz w:val="28"/>
          <w:szCs w:val="28"/>
        </w:rPr>
        <w:fldChar w:fldCharType="begin"/>
      </w:r>
      <w:r>
        <w:rPr>
          <w:rStyle w:val="20"/>
          <w:rFonts w:hint="eastAsia" w:ascii="仿宋_GB2312" w:hAnsi="宋体" w:eastAsia="仿宋_GB2312"/>
          <w:sz w:val="28"/>
          <w:szCs w:val="28"/>
        </w:rPr>
        <w:instrText xml:space="preserve"> PAGEREF _Toc457378378 \h </w:instrText>
      </w:r>
      <w:r>
        <w:rPr>
          <w:rStyle w:val="20"/>
          <w:rFonts w:hint="eastAsia" w:ascii="仿宋_GB2312" w:hAnsi="宋体" w:eastAsia="仿宋_GB2312"/>
          <w:sz w:val="28"/>
          <w:szCs w:val="28"/>
        </w:rPr>
        <w:fldChar w:fldCharType="separate"/>
      </w:r>
      <w:r>
        <w:rPr>
          <w:rStyle w:val="20"/>
          <w:rFonts w:ascii="仿宋_GB2312" w:hAnsi="宋体" w:eastAsia="仿宋_GB2312"/>
          <w:sz w:val="28"/>
          <w:szCs w:val="28"/>
        </w:rPr>
        <w:t>16</w:t>
      </w:r>
      <w:r>
        <w:rPr>
          <w:rStyle w:val="20"/>
          <w:rFonts w:hint="eastAsia" w:ascii="仿宋_GB2312" w:hAnsi="宋体" w:eastAsia="仿宋_GB2312"/>
          <w:sz w:val="28"/>
          <w:szCs w:val="28"/>
        </w:rPr>
        <w:fldChar w:fldCharType="end"/>
      </w:r>
      <w:r>
        <w:rPr>
          <w:rStyle w:val="20"/>
          <w:rFonts w:hint="eastAsia" w:ascii="仿宋_GB2312" w:hAnsi="宋体" w:eastAsia="仿宋_GB2312"/>
          <w:sz w:val="28"/>
          <w:szCs w:val="28"/>
        </w:rPr>
        <w:fldChar w:fldCharType="end"/>
      </w:r>
    </w:p>
    <w:p w14:paraId="615B6986">
      <w:pPr>
        <w:pStyle w:val="13"/>
        <w:rPr>
          <w:rFonts w:ascii="仿宋_GB2312" w:hAnsi="宋体" w:eastAsia="仿宋_GB2312"/>
          <w:b w:val="0"/>
          <w:bCs w:val="0"/>
          <w:caps w:val="0"/>
          <w:sz w:val="28"/>
          <w:szCs w:val="28"/>
        </w:rPr>
      </w:pPr>
      <w:r>
        <w:fldChar w:fldCharType="begin"/>
      </w:r>
      <w:r>
        <w:instrText xml:space="preserve"> HYPERLINK \l "_Toc457378379" </w:instrText>
      </w:r>
      <w:r>
        <w:fldChar w:fldCharType="separate"/>
      </w:r>
      <w:r>
        <w:rPr>
          <w:rStyle w:val="20"/>
          <w:rFonts w:hint="eastAsia" w:ascii="仿宋_GB2312" w:hAnsi="宋体" w:eastAsia="仿宋_GB2312"/>
          <w:sz w:val="28"/>
          <w:szCs w:val="28"/>
        </w:rPr>
        <w:t>四、保障措施</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_Toc457378379 \h </w:instrText>
      </w:r>
      <w:r>
        <w:rPr>
          <w:rFonts w:hint="eastAsia" w:ascii="仿宋_GB2312" w:hAnsi="宋体" w:eastAsia="仿宋_GB2312"/>
          <w:sz w:val="28"/>
          <w:szCs w:val="28"/>
        </w:rPr>
        <w:fldChar w:fldCharType="separate"/>
      </w:r>
      <w:r>
        <w:rPr>
          <w:rFonts w:ascii="仿宋_GB2312" w:hAnsi="宋体" w:eastAsia="仿宋_GB2312"/>
          <w:sz w:val="28"/>
          <w:szCs w:val="28"/>
        </w:rPr>
        <w:t>18</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11F5C9A8">
      <w:pPr>
        <w:pStyle w:val="13"/>
        <w:rPr>
          <w:rFonts w:ascii="仿宋_GB2312" w:hAnsi="宋体" w:eastAsia="仿宋_GB2312"/>
          <w:b w:val="0"/>
          <w:bCs w:val="0"/>
          <w:caps w:val="0"/>
          <w:sz w:val="28"/>
          <w:szCs w:val="28"/>
        </w:rPr>
      </w:pPr>
      <w:r>
        <w:fldChar w:fldCharType="begin"/>
      </w:r>
      <w:r>
        <w:instrText xml:space="preserve"> HYPERLINK \l "_Toc457378380" </w:instrText>
      </w:r>
      <w:r>
        <w:fldChar w:fldCharType="separate"/>
      </w:r>
      <w:r>
        <w:rPr>
          <w:rStyle w:val="20"/>
          <w:rFonts w:hint="eastAsia" w:ascii="仿宋_GB2312" w:hAnsi="宋体" w:eastAsia="仿宋_GB2312"/>
          <w:sz w:val="28"/>
          <w:szCs w:val="28"/>
        </w:rPr>
        <w:t>五、投资估算和环境社会影响分析</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_Toc457378380 \h </w:instrText>
      </w:r>
      <w:r>
        <w:rPr>
          <w:rFonts w:hint="eastAsia" w:ascii="仿宋_GB2312" w:hAnsi="宋体" w:eastAsia="仿宋_GB2312"/>
          <w:sz w:val="28"/>
          <w:szCs w:val="28"/>
        </w:rPr>
        <w:fldChar w:fldCharType="separate"/>
      </w:r>
      <w:r>
        <w:rPr>
          <w:rFonts w:ascii="仿宋_GB2312" w:hAnsi="宋体" w:eastAsia="仿宋_GB2312"/>
          <w:sz w:val="28"/>
          <w:szCs w:val="28"/>
        </w:rPr>
        <w:t>20</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462DE3B7">
      <w:pPr>
        <w:pStyle w:val="15"/>
        <w:rPr>
          <w:rFonts w:ascii="仿宋_GB2312" w:hAnsi="宋体" w:eastAsia="仿宋_GB2312"/>
          <w:smallCaps w:val="0"/>
          <w:sz w:val="28"/>
          <w:szCs w:val="28"/>
        </w:rPr>
      </w:pPr>
      <w:r>
        <w:fldChar w:fldCharType="begin"/>
      </w:r>
      <w:r>
        <w:instrText xml:space="preserve"> HYPERLINK \l "_Toc457378381" </w:instrText>
      </w:r>
      <w:r>
        <w:fldChar w:fldCharType="separate"/>
      </w:r>
      <w:r>
        <w:rPr>
          <w:rStyle w:val="20"/>
          <w:rFonts w:hint="eastAsia" w:ascii="仿宋_GB2312" w:hAnsi="宋体" w:eastAsia="仿宋_GB2312"/>
          <w:sz w:val="28"/>
          <w:szCs w:val="28"/>
        </w:rPr>
        <w:t>（一）投资估算</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_Toc457378381 \h </w:instrText>
      </w:r>
      <w:r>
        <w:rPr>
          <w:rFonts w:hint="eastAsia" w:ascii="仿宋_GB2312" w:hAnsi="宋体" w:eastAsia="仿宋_GB2312"/>
          <w:sz w:val="28"/>
          <w:szCs w:val="28"/>
        </w:rPr>
        <w:fldChar w:fldCharType="separate"/>
      </w:r>
      <w:r>
        <w:rPr>
          <w:rFonts w:ascii="仿宋_GB2312" w:hAnsi="宋体" w:eastAsia="仿宋_GB2312"/>
          <w:sz w:val="28"/>
          <w:szCs w:val="28"/>
        </w:rPr>
        <w:t>20</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43D78592">
      <w:pPr>
        <w:pStyle w:val="15"/>
        <w:rPr>
          <w:rFonts w:ascii="仿宋_GB2312" w:hAnsi="宋体" w:eastAsia="仿宋_GB2312"/>
          <w:smallCaps w:val="0"/>
          <w:sz w:val="28"/>
          <w:szCs w:val="28"/>
        </w:rPr>
      </w:pPr>
      <w:r>
        <w:fldChar w:fldCharType="begin"/>
      </w:r>
      <w:r>
        <w:instrText xml:space="preserve"> HYPERLINK \l "_Toc457378382" </w:instrText>
      </w:r>
      <w:r>
        <w:fldChar w:fldCharType="separate"/>
      </w:r>
      <w:r>
        <w:rPr>
          <w:rStyle w:val="20"/>
          <w:rFonts w:hint="eastAsia" w:ascii="仿宋_GB2312" w:hAnsi="宋体" w:eastAsia="仿宋_GB2312"/>
          <w:sz w:val="28"/>
          <w:szCs w:val="28"/>
        </w:rPr>
        <w:t>（二）环境效益</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_Toc457378382 \h </w:instrText>
      </w:r>
      <w:r>
        <w:rPr>
          <w:rFonts w:hint="eastAsia" w:ascii="仿宋_GB2312" w:hAnsi="宋体" w:eastAsia="仿宋_GB2312"/>
          <w:sz w:val="28"/>
          <w:szCs w:val="28"/>
        </w:rPr>
        <w:fldChar w:fldCharType="separate"/>
      </w:r>
      <w:r>
        <w:rPr>
          <w:rFonts w:ascii="仿宋_GB2312" w:hAnsi="宋体" w:eastAsia="仿宋_GB2312"/>
          <w:sz w:val="28"/>
          <w:szCs w:val="28"/>
        </w:rPr>
        <w:t>20</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2DE5A124">
      <w:pPr>
        <w:pStyle w:val="15"/>
        <w:rPr>
          <w:rFonts w:ascii="仿宋_GB2312" w:hAnsi="宋体" w:eastAsia="仿宋_GB2312"/>
          <w:smallCaps w:val="0"/>
          <w:sz w:val="28"/>
          <w:szCs w:val="28"/>
        </w:rPr>
      </w:pPr>
      <w:r>
        <w:fldChar w:fldCharType="begin"/>
      </w:r>
      <w:r>
        <w:instrText xml:space="preserve"> HYPERLINK \l "_Toc457378383" </w:instrText>
      </w:r>
      <w:r>
        <w:fldChar w:fldCharType="separate"/>
      </w:r>
      <w:r>
        <w:rPr>
          <w:rStyle w:val="20"/>
          <w:rFonts w:hint="eastAsia" w:ascii="仿宋_GB2312" w:hAnsi="宋体" w:eastAsia="仿宋_GB2312"/>
          <w:sz w:val="28"/>
          <w:szCs w:val="28"/>
        </w:rPr>
        <w:t>（三）社会效益</w:t>
      </w:r>
      <w:r>
        <w:rPr>
          <w:rFonts w:hint="eastAsia" w:ascii="仿宋_GB2312" w:hAnsi="宋体" w:eastAsia="仿宋_GB2312"/>
          <w:sz w:val="28"/>
          <w:szCs w:val="28"/>
        </w:rPr>
        <w:tab/>
      </w:r>
      <w:r>
        <w:rPr>
          <w:rFonts w:hint="eastAsia" w:ascii="仿宋_GB2312" w:hAnsi="宋体" w:eastAsia="仿宋_GB2312"/>
          <w:sz w:val="28"/>
          <w:szCs w:val="28"/>
        </w:rPr>
        <w:fldChar w:fldCharType="begin"/>
      </w:r>
      <w:r>
        <w:rPr>
          <w:rFonts w:hint="eastAsia" w:ascii="仿宋_GB2312" w:hAnsi="宋体" w:eastAsia="仿宋_GB2312"/>
          <w:sz w:val="28"/>
          <w:szCs w:val="28"/>
        </w:rPr>
        <w:instrText xml:space="preserve"> PAGEREF _Toc457378383 \h </w:instrText>
      </w:r>
      <w:r>
        <w:rPr>
          <w:rFonts w:hint="eastAsia" w:ascii="仿宋_GB2312" w:hAnsi="宋体" w:eastAsia="仿宋_GB2312"/>
          <w:sz w:val="28"/>
          <w:szCs w:val="28"/>
        </w:rPr>
        <w:fldChar w:fldCharType="separate"/>
      </w:r>
      <w:r>
        <w:rPr>
          <w:rFonts w:ascii="仿宋_GB2312" w:hAnsi="宋体" w:eastAsia="仿宋_GB2312"/>
          <w:sz w:val="28"/>
          <w:szCs w:val="28"/>
        </w:rPr>
        <w:t>20</w:t>
      </w:r>
      <w:r>
        <w:rPr>
          <w:rFonts w:hint="eastAsia" w:ascii="仿宋_GB2312" w:hAnsi="宋体" w:eastAsia="仿宋_GB2312"/>
          <w:sz w:val="28"/>
          <w:szCs w:val="28"/>
        </w:rPr>
        <w:fldChar w:fldCharType="end"/>
      </w:r>
      <w:r>
        <w:rPr>
          <w:rFonts w:hint="eastAsia" w:ascii="仿宋_GB2312" w:hAnsi="宋体" w:eastAsia="仿宋_GB2312"/>
          <w:sz w:val="28"/>
          <w:szCs w:val="28"/>
        </w:rPr>
        <w:fldChar w:fldCharType="end"/>
      </w:r>
    </w:p>
    <w:p w14:paraId="5BB48278">
      <w:pPr>
        <w:rPr>
          <w:rFonts w:ascii="仿宋_GB2312" w:eastAsia="仿宋_GB2312"/>
          <w:sz w:val="30"/>
          <w:szCs w:val="30"/>
        </w:rPr>
      </w:pPr>
      <w:r>
        <w:rPr>
          <w:rFonts w:hint="eastAsia" w:ascii="仿宋_GB2312" w:hAnsi="宋体" w:eastAsia="仿宋_GB2312"/>
          <w:sz w:val="32"/>
          <w:szCs w:val="32"/>
        </w:rPr>
        <w:fldChar w:fldCharType="end"/>
      </w:r>
    </w:p>
    <w:p w14:paraId="6A7F6E86">
      <w:pPr>
        <w:spacing w:line="360" w:lineRule="auto"/>
        <w:jc w:val="center"/>
        <w:outlineLvl w:val="0"/>
        <w:rPr>
          <w:rFonts w:ascii="仿宋_GB2312" w:hAnsi="黑体" w:eastAsia="仿宋_GB2312"/>
          <w:b/>
          <w:sz w:val="30"/>
          <w:szCs w:val="30"/>
        </w:rPr>
        <w:sectPr>
          <w:footerReference r:id="rId6" w:type="default"/>
          <w:pgSz w:w="11906" w:h="16838"/>
          <w:pgMar w:top="1440" w:right="1800" w:bottom="1440" w:left="1800" w:header="851" w:footer="992" w:gutter="0"/>
          <w:pgNumType w:fmt="upperRoman"/>
          <w:cols w:space="425" w:num="1"/>
          <w:docGrid w:type="lines" w:linePitch="381" w:charSpace="0"/>
        </w:sectPr>
      </w:pPr>
    </w:p>
    <w:p w14:paraId="6AFDF958">
      <w:pPr>
        <w:spacing w:line="360" w:lineRule="auto"/>
        <w:outlineLvl w:val="0"/>
        <w:rPr>
          <w:rFonts w:ascii="黑体" w:hAnsi="黑体" w:eastAsia="黑体"/>
          <w:b/>
          <w:sz w:val="36"/>
          <w:szCs w:val="36"/>
        </w:rPr>
      </w:pPr>
      <w:bookmarkStart w:id="5" w:name="_Toc457378367"/>
      <w:r>
        <w:rPr>
          <w:rFonts w:hint="eastAsia" w:ascii="黑体" w:hAnsi="黑体" w:eastAsia="黑体"/>
          <w:b/>
          <w:sz w:val="36"/>
          <w:szCs w:val="36"/>
        </w:rPr>
        <w:t>一、发展现状和面临形势</w:t>
      </w:r>
      <w:bookmarkEnd w:id="5"/>
      <w:r>
        <w:rPr>
          <w:rFonts w:hint="eastAsia" w:ascii="黑体" w:hAnsi="黑体" w:eastAsia="黑体"/>
          <w:b/>
          <w:sz w:val="36"/>
          <w:szCs w:val="36"/>
        </w:rPr>
        <w:tab/>
      </w:r>
    </w:p>
    <w:p w14:paraId="52750839">
      <w:pPr>
        <w:pStyle w:val="3"/>
        <w:spacing w:line="360" w:lineRule="auto"/>
        <w:rPr>
          <w:rFonts w:ascii="黑体" w:hAnsi="黑体" w:eastAsia="黑体"/>
          <w:sz w:val="32"/>
        </w:rPr>
      </w:pPr>
      <w:bookmarkStart w:id="6" w:name="_Toc306289170"/>
      <w:bookmarkStart w:id="7" w:name="_Toc306279934"/>
      <w:bookmarkStart w:id="8" w:name="_Toc457378368"/>
      <w:r>
        <w:rPr>
          <w:rFonts w:hint="eastAsia" w:ascii="黑体" w:hAnsi="黑体" w:eastAsia="黑体"/>
          <w:sz w:val="32"/>
        </w:rPr>
        <w:t>（一）</w:t>
      </w:r>
      <w:bookmarkEnd w:id="6"/>
      <w:bookmarkEnd w:id="7"/>
      <w:r>
        <w:rPr>
          <w:rFonts w:hint="eastAsia" w:ascii="黑体" w:hAnsi="黑体" w:eastAsia="黑体"/>
          <w:sz w:val="32"/>
        </w:rPr>
        <w:t>发展基础</w:t>
      </w:r>
      <w:bookmarkEnd w:id="8"/>
    </w:p>
    <w:p w14:paraId="4FFE94D6">
      <w:pPr>
        <w:spacing w:line="360" w:lineRule="auto"/>
        <w:ind w:firstLine="643" w:firstLineChars="200"/>
        <w:rPr>
          <w:rFonts w:ascii="仿宋_GB2312" w:eastAsia="仿宋_GB2312"/>
          <w:b/>
          <w:sz w:val="32"/>
          <w:szCs w:val="32"/>
        </w:rPr>
      </w:pPr>
      <w:r>
        <w:rPr>
          <w:rFonts w:hint="eastAsia" w:ascii="仿宋_GB2312" w:eastAsia="仿宋_GB2312"/>
          <w:b/>
          <w:sz w:val="32"/>
          <w:szCs w:val="32"/>
        </w:rPr>
        <w:t>1、国际发展现状</w:t>
      </w:r>
    </w:p>
    <w:p w14:paraId="42C5CCA0">
      <w:pPr>
        <w:spacing w:line="360" w:lineRule="auto"/>
        <w:ind w:firstLine="643" w:firstLineChars="200"/>
        <w:rPr>
          <w:rFonts w:ascii="仿宋_GB2312" w:eastAsia="仿宋_GB2312"/>
          <w:b/>
          <w:sz w:val="32"/>
          <w:szCs w:val="32"/>
        </w:rPr>
      </w:pPr>
      <w:r>
        <w:rPr>
          <w:rFonts w:hint="eastAsia" w:ascii="仿宋_GB2312" w:eastAsia="仿宋_GB2312"/>
          <w:b/>
          <w:sz w:val="32"/>
          <w:szCs w:val="32"/>
        </w:rPr>
        <w:t>（1）发展现状</w:t>
      </w:r>
    </w:p>
    <w:p w14:paraId="6E967A31">
      <w:pPr>
        <w:spacing w:line="360" w:lineRule="auto"/>
        <w:ind w:firstLine="640" w:firstLineChars="200"/>
        <w:rPr>
          <w:rFonts w:ascii="仿宋_GB2312" w:eastAsia="仿宋_GB2312"/>
          <w:sz w:val="32"/>
          <w:szCs w:val="32"/>
        </w:rPr>
      </w:pPr>
      <w:r>
        <w:rPr>
          <w:rFonts w:hint="eastAsia" w:ascii="仿宋_GB2312" w:eastAsia="仿宋_GB2312"/>
          <w:sz w:val="32"/>
          <w:szCs w:val="32"/>
        </w:rPr>
        <w:t>生物质能是世界上重要的新能源，技术成熟，应用广泛，在应对全球气候变化、能源供需矛盾、保护生态环境等方面发挥着重要作用，是全球继石油、煤炭、天然气之后的第四大能源，成为国际能源转型的重要力量。</w:t>
      </w:r>
    </w:p>
    <w:p w14:paraId="67F5CD5F">
      <w:pPr>
        <w:spacing w:line="360" w:lineRule="auto"/>
        <w:ind w:firstLine="643" w:firstLineChars="200"/>
        <w:rPr>
          <w:rFonts w:ascii="仿宋_GB2312" w:eastAsia="仿宋_GB2312"/>
          <w:sz w:val="32"/>
          <w:szCs w:val="32"/>
        </w:rPr>
      </w:pPr>
      <w:r>
        <w:rPr>
          <w:rFonts w:hint="eastAsia" w:ascii="仿宋_GB2312" w:eastAsia="仿宋_GB2312"/>
          <w:b/>
          <w:sz w:val="32"/>
          <w:szCs w:val="32"/>
        </w:rPr>
        <w:t>生物质发电。</w:t>
      </w:r>
      <w:r>
        <w:rPr>
          <w:rFonts w:hint="eastAsia" w:ascii="仿宋_GB2312" w:eastAsia="仿宋_GB2312"/>
          <w:sz w:val="32"/>
          <w:szCs w:val="32"/>
        </w:rPr>
        <w:t>截至2015年，全球生物质发电装机容量约1亿千瓦，其中美国1590万千瓦、巴西1100万千瓦。生物质热电联产已成为欧洲，特别是北欧国家重要的供热方式。生活垃圾焚烧发电发展较快，其中日本垃圾焚烧发电处理量占生活垃圾无害化处理量的70%以上。</w:t>
      </w:r>
    </w:p>
    <w:p w14:paraId="1879C9E0">
      <w:pPr>
        <w:spacing w:line="360" w:lineRule="auto"/>
        <w:ind w:firstLine="643" w:firstLineChars="200"/>
        <w:rPr>
          <w:rFonts w:ascii="仿宋_GB2312" w:eastAsia="仿宋_GB2312"/>
          <w:sz w:val="32"/>
          <w:szCs w:val="32"/>
        </w:rPr>
      </w:pPr>
      <w:r>
        <w:rPr>
          <w:rFonts w:hint="eastAsia" w:ascii="仿宋_GB2312" w:eastAsia="仿宋_GB2312"/>
          <w:b/>
          <w:sz w:val="32"/>
          <w:szCs w:val="32"/>
        </w:rPr>
        <w:t>生物质成型燃料。</w:t>
      </w:r>
      <w:r>
        <w:rPr>
          <w:rFonts w:hint="eastAsia" w:ascii="仿宋_GB2312" w:eastAsia="仿宋_GB2312"/>
          <w:sz w:val="32"/>
          <w:szCs w:val="32"/>
        </w:rPr>
        <w:t>截至2015年，全球生物质成型燃料产量约</w:t>
      </w:r>
      <w:r>
        <w:rPr>
          <w:rFonts w:ascii="仿宋_GB2312" w:eastAsia="仿宋_GB2312"/>
          <w:sz w:val="32"/>
          <w:szCs w:val="32"/>
        </w:rPr>
        <w:t>3000</w:t>
      </w:r>
      <w:r>
        <w:rPr>
          <w:rFonts w:hint="eastAsia" w:ascii="仿宋_GB2312" w:eastAsia="仿宋_GB2312"/>
          <w:sz w:val="32"/>
          <w:szCs w:val="32"/>
        </w:rPr>
        <w:t>万吨，欧洲是世界最大的生物质成型燃料消费地区，年均约1600万吨。北欧国家生物质成型燃料消费比重较大，其中瑞典生物质成型燃料供热约占供热能源消费总量的70%。</w:t>
      </w:r>
    </w:p>
    <w:p w14:paraId="6E905AA9">
      <w:pPr>
        <w:spacing w:line="360" w:lineRule="auto"/>
        <w:ind w:firstLine="643" w:firstLineChars="200"/>
        <w:rPr>
          <w:rFonts w:ascii="仿宋_GB2312" w:eastAsia="仿宋_GB2312"/>
          <w:b/>
          <w:sz w:val="32"/>
          <w:szCs w:val="32"/>
        </w:rPr>
      </w:pPr>
      <w:r>
        <w:rPr>
          <w:rFonts w:hint="eastAsia" w:ascii="仿宋_GB2312" w:eastAsia="仿宋_GB2312"/>
          <w:b/>
          <w:sz w:val="32"/>
          <w:szCs w:val="32"/>
        </w:rPr>
        <w:t>生物质燃气。</w:t>
      </w:r>
      <w:r>
        <w:rPr>
          <w:rFonts w:hint="eastAsia" w:ascii="仿宋_GB2312" w:eastAsia="仿宋_GB2312"/>
          <w:sz w:val="32"/>
          <w:szCs w:val="32"/>
        </w:rPr>
        <w:t>截至2015年，全球沼气产量约为</w:t>
      </w:r>
      <w:r>
        <w:rPr>
          <w:rFonts w:ascii="仿宋_GB2312" w:eastAsia="仿宋_GB2312"/>
          <w:sz w:val="32"/>
          <w:szCs w:val="32"/>
        </w:rPr>
        <w:t>5</w:t>
      </w:r>
      <w:r>
        <w:rPr>
          <w:rFonts w:hint="eastAsia" w:ascii="仿宋_GB2312" w:eastAsia="仿宋_GB2312"/>
          <w:sz w:val="32"/>
          <w:szCs w:val="32"/>
        </w:rPr>
        <w:t>7</w:t>
      </w:r>
      <w:r>
        <w:rPr>
          <w:rFonts w:ascii="仿宋_GB2312" w:eastAsia="仿宋_GB2312"/>
          <w:sz w:val="32"/>
          <w:szCs w:val="32"/>
        </w:rPr>
        <w:t>0</w:t>
      </w:r>
      <w:r>
        <w:rPr>
          <w:rFonts w:hint="eastAsia" w:ascii="仿宋_GB2312" w:eastAsia="仿宋_GB2312"/>
          <w:sz w:val="32"/>
          <w:szCs w:val="32"/>
        </w:rPr>
        <w:t>亿立方米，其中德国沼气年产量超过</w:t>
      </w:r>
      <w:r>
        <w:rPr>
          <w:rFonts w:ascii="仿宋_GB2312" w:eastAsia="仿宋_GB2312"/>
          <w:sz w:val="32"/>
          <w:szCs w:val="32"/>
        </w:rPr>
        <w:t>200</w:t>
      </w:r>
      <w:r>
        <w:rPr>
          <w:rFonts w:hint="eastAsia" w:ascii="仿宋_GB2312" w:eastAsia="仿宋_GB2312"/>
          <w:sz w:val="32"/>
          <w:szCs w:val="32"/>
        </w:rPr>
        <w:t>亿立方米，瑞典生物天然气满足了全国30%车用燃气需求。</w:t>
      </w:r>
    </w:p>
    <w:p w14:paraId="26F8710A">
      <w:pPr>
        <w:spacing w:line="360" w:lineRule="auto"/>
        <w:ind w:firstLine="643" w:firstLineChars="200"/>
        <w:rPr>
          <w:rFonts w:ascii="仿宋_GB2312" w:eastAsia="仿宋_GB2312"/>
          <w:sz w:val="32"/>
          <w:szCs w:val="32"/>
        </w:rPr>
      </w:pPr>
      <w:r>
        <w:rPr>
          <w:rFonts w:hint="eastAsia" w:ascii="仿宋_GB2312" w:eastAsia="仿宋_GB2312"/>
          <w:b/>
          <w:sz w:val="32"/>
          <w:szCs w:val="32"/>
        </w:rPr>
        <w:t>生物液体燃料。</w:t>
      </w:r>
      <w:r>
        <w:rPr>
          <w:rFonts w:hint="eastAsia" w:ascii="仿宋_GB2312" w:eastAsia="仿宋_GB2312"/>
          <w:sz w:val="32"/>
          <w:szCs w:val="32"/>
        </w:rPr>
        <w:t>截至2015年，全球生物液体燃料消费量约1亿吨，其中燃料乙醇全球产量约8000万吨，生物柴油产量约2000万吨。巴西甘蔗燃料乙醇和美国玉米燃料乙醇已规模化应用。</w:t>
      </w:r>
    </w:p>
    <w:p w14:paraId="648A693E">
      <w:pPr>
        <w:spacing w:line="360" w:lineRule="auto"/>
        <w:rPr>
          <w:rFonts w:ascii="仿宋_GB2312" w:eastAsia="仿宋_GB2312"/>
          <w:b/>
          <w:sz w:val="32"/>
          <w:szCs w:val="32"/>
        </w:rPr>
      </w:pPr>
      <w:r>
        <w:rPr>
          <w:rFonts w:hint="eastAsia" w:ascii="仿宋_GB2312" w:eastAsia="仿宋_GB2312"/>
          <w:b/>
          <w:sz w:val="32"/>
          <w:szCs w:val="32"/>
        </w:rPr>
        <w:t xml:space="preserve">    （2）发展趋势</w:t>
      </w:r>
    </w:p>
    <w:p w14:paraId="073680E0">
      <w:pPr>
        <w:spacing w:line="360" w:lineRule="auto"/>
        <w:ind w:firstLine="803" w:firstLineChars="250"/>
        <w:rPr>
          <w:rFonts w:ascii="仿宋_GB2312" w:eastAsia="仿宋_GB2312"/>
          <w:sz w:val="32"/>
          <w:szCs w:val="32"/>
        </w:rPr>
      </w:pPr>
      <w:r>
        <w:rPr>
          <w:rFonts w:hint="eastAsia" w:ascii="仿宋_GB2312" w:eastAsia="仿宋_GB2312"/>
          <w:b/>
          <w:sz w:val="32"/>
          <w:szCs w:val="32"/>
        </w:rPr>
        <w:t>一是</w:t>
      </w:r>
      <w:r>
        <w:rPr>
          <w:rFonts w:hint="eastAsia" w:ascii="仿宋_GB2312" w:eastAsia="仿宋_GB2312"/>
          <w:sz w:val="32"/>
          <w:szCs w:val="32"/>
        </w:rPr>
        <w:t>生物质能多元化分布式应用成为世界上生物质能发展较好国家的共同特征。</w:t>
      </w:r>
      <w:r>
        <w:rPr>
          <w:rFonts w:hint="eastAsia" w:ascii="仿宋_GB2312" w:eastAsia="仿宋_GB2312"/>
          <w:b/>
          <w:sz w:val="32"/>
          <w:szCs w:val="32"/>
        </w:rPr>
        <w:t>二是</w:t>
      </w:r>
      <w:r>
        <w:rPr>
          <w:rFonts w:hint="eastAsia" w:ascii="仿宋_GB2312" w:eastAsia="仿宋_GB2312"/>
          <w:sz w:val="32"/>
          <w:szCs w:val="32"/>
        </w:rPr>
        <w:t>生物天然气和成型燃料供热技术和商业化运作模式基本成熟，逐渐成为生物质能重要发展方向。生物天然气不断拓展车用燃气和天然气供应等市场领域。生物质供热在中、小城市和城镇应用空间不断扩大。</w:t>
      </w:r>
      <w:r>
        <w:rPr>
          <w:rFonts w:hint="eastAsia" w:ascii="仿宋_GB2312" w:eastAsia="仿宋_GB2312"/>
          <w:b/>
          <w:sz w:val="32"/>
          <w:szCs w:val="32"/>
        </w:rPr>
        <w:t>三是</w:t>
      </w:r>
      <w:r>
        <w:rPr>
          <w:rFonts w:hint="eastAsia" w:ascii="仿宋_GB2312" w:eastAsia="仿宋_GB2312"/>
          <w:sz w:val="32"/>
          <w:szCs w:val="32"/>
        </w:rPr>
        <w:t>生物液体燃料向生物基化工产业延伸，技术重点向利用非粮生物质资源的多元化生物炼制方向发展，形成燃料乙醇、混合醇、生物柴油等丰富的能源衍生替代产品，不断扩展航空燃料、化工基础原料等应用领域。</w:t>
      </w:r>
    </w:p>
    <w:p w14:paraId="0A9DAF4F">
      <w:pPr>
        <w:spacing w:line="360" w:lineRule="auto"/>
        <w:ind w:firstLine="643" w:firstLineChars="200"/>
        <w:rPr>
          <w:rFonts w:ascii="仿宋_GB2312" w:eastAsia="仿宋_GB2312"/>
          <w:b/>
          <w:sz w:val="32"/>
          <w:szCs w:val="32"/>
        </w:rPr>
      </w:pPr>
      <w:r>
        <w:rPr>
          <w:rFonts w:hint="eastAsia" w:ascii="仿宋_GB2312" w:eastAsia="仿宋_GB2312"/>
          <w:b/>
          <w:sz w:val="32"/>
          <w:szCs w:val="32"/>
        </w:rPr>
        <w:t>2、国内发展现状</w:t>
      </w:r>
    </w:p>
    <w:p w14:paraId="7FF168BD">
      <w:pPr>
        <w:spacing w:line="360" w:lineRule="auto"/>
        <w:ind w:firstLine="640" w:firstLineChars="200"/>
        <w:rPr>
          <w:rFonts w:ascii="仿宋_GB2312" w:eastAsia="仿宋_GB2312"/>
          <w:sz w:val="32"/>
          <w:szCs w:val="32"/>
        </w:rPr>
      </w:pPr>
      <w:r>
        <w:rPr>
          <w:rFonts w:hint="eastAsia" w:ascii="仿宋_GB2312" w:eastAsia="仿宋_GB2312"/>
          <w:sz w:val="32"/>
          <w:szCs w:val="32"/>
        </w:rPr>
        <w:t>我国生物质资源丰富，能源化利用潜力大。全国可作为能源利用的农作物秸秆及农产品加工剩余物、林业剩余物和能源作物、生活垃圾与有机废弃物等生物质资源总量每年约</w:t>
      </w:r>
      <w:r>
        <w:rPr>
          <w:rFonts w:ascii="仿宋_GB2312" w:eastAsia="仿宋_GB2312"/>
          <w:sz w:val="32"/>
          <w:szCs w:val="32"/>
        </w:rPr>
        <w:t>4.6</w:t>
      </w:r>
      <w:r>
        <w:rPr>
          <w:rFonts w:hint="eastAsia" w:ascii="仿宋_GB2312" w:eastAsia="仿宋_GB2312"/>
          <w:sz w:val="32"/>
          <w:szCs w:val="32"/>
        </w:rPr>
        <w:t>亿吨标准煤。截至2015年，生物质能利用量约3500万吨标准煤，其中商品化的生物质能利用量约1800万吨标准煤。生物质发电和液体燃料产业已形成一定规模，生物质成型燃料、生物天然气等产业已起步，呈现良好发展势头。</w:t>
      </w:r>
    </w:p>
    <w:p w14:paraId="6A7EC337">
      <w:pPr>
        <w:spacing w:line="360" w:lineRule="auto"/>
        <w:ind w:firstLine="643" w:firstLineChars="200"/>
        <w:rPr>
          <w:rFonts w:ascii="仿宋_GB2312" w:eastAsia="仿宋_GB2312"/>
          <w:color w:val="FF0000"/>
          <w:sz w:val="32"/>
          <w:szCs w:val="32"/>
        </w:rPr>
      </w:pPr>
      <w:r>
        <w:rPr>
          <w:rFonts w:hint="eastAsia" w:ascii="仿宋_GB2312" w:eastAsia="仿宋_GB2312"/>
          <w:b/>
          <w:sz w:val="32"/>
          <w:szCs w:val="32"/>
        </w:rPr>
        <w:t>生物质发电。</w:t>
      </w: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15年，我国生物质发电总装机容量约1030万千瓦，其中，农林生物质直燃发电约</w:t>
      </w:r>
      <w:r>
        <w:rPr>
          <w:rFonts w:ascii="仿宋_GB2312" w:eastAsia="仿宋_GB2312"/>
          <w:sz w:val="32"/>
          <w:szCs w:val="32"/>
        </w:rPr>
        <w:t>5</w:t>
      </w:r>
      <w:r>
        <w:rPr>
          <w:rFonts w:hint="eastAsia" w:ascii="仿宋_GB2312" w:eastAsia="仿宋_GB2312"/>
          <w:sz w:val="32"/>
          <w:szCs w:val="32"/>
        </w:rPr>
        <w:t>30万千瓦，垃圾焚烧发电约470万千瓦，沼气发电约30万千瓦，年发电量约520亿千瓦时，生物质发电技术基本成熟。</w:t>
      </w:r>
    </w:p>
    <w:p w14:paraId="491A0721">
      <w:pPr>
        <w:spacing w:line="360" w:lineRule="auto"/>
        <w:ind w:firstLine="643" w:firstLineChars="200"/>
        <w:rPr>
          <w:rFonts w:ascii="仿宋_GB2312" w:eastAsia="仿宋_GB2312"/>
          <w:sz w:val="32"/>
          <w:szCs w:val="32"/>
        </w:rPr>
      </w:pPr>
      <w:r>
        <w:rPr>
          <w:rFonts w:hint="eastAsia" w:ascii="仿宋_GB2312" w:eastAsia="仿宋_GB2312"/>
          <w:b/>
          <w:sz w:val="32"/>
          <w:szCs w:val="32"/>
        </w:rPr>
        <w:t>生物质成型燃料。</w:t>
      </w:r>
      <w:r>
        <w:rPr>
          <w:rFonts w:hint="eastAsia" w:ascii="仿宋_GB2312" w:eastAsia="仿宋_GB2312"/>
          <w:sz w:val="32"/>
          <w:szCs w:val="32"/>
        </w:rPr>
        <w:t>截至2015年，生物质成型燃料年利用量约800万吨，主要用于城镇供暖和工业供热等领域。生物质成型燃料供热产业处于规模化发展初期，成型燃料机械制造、专用锅炉制造、燃料燃烧等技术日益成熟，具备规模化、产业化发展基础。</w:t>
      </w:r>
    </w:p>
    <w:p w14:paraId="7C6BC95B">
      <w:pPr>
        <w:spacing w:line="360" w:lineRule="auto"/>
        <w:ind w:firstLine="643" w:firstLineChars="200"/>
        <w:rPr>
          <w:rFonts w:ascii="仿宋_GB2312" w:eastAsia="仿宋_GB2312"/>
          <w:sz w:val="32"/>
          <w:szCs w:val="32"/>
        </w:rPr>
      </w:pPr>
      <w:r>
        <w:rPr>
          <w:rFonts w:hint="eastAsia" w:ascii="仿宋_GB2312" w:eastAsia="仿宋_GB2312"/>
          <w:b/>
          <w:sz w:val="32"/>
          <w:szCs w:val="32"/>
        </w:rPr>
        <w:t>生物质燃气</w:t>
      </w:r>
      <w:r>
        <w:rPr>
          <w:rFonts w:hint="eastAsia" w:ascii="仿宋_GB2312" w:eastAsia="仿宋_GB2312"/>
          <w:sz w:val="32"/>
          <w:szCs w:val="32"/>
        </w:rPr>
        <w:t>。截至2015年，全国沼气理论年产量约190亿立方米，其中户用沼气理论年产量约140亿立方米，规模化沼气工程约10万处，年产气量约50亿立方米，沼气正处于转型升级关键阶段。</w:t>
      </w:r>
    </w:p>
    <w:p w14:paraId="7F12EC0F">
      <w:pPr>
        <w:spacing w:line="360" w:lineRule="auto"/>
        <w:ind w:firstLine="643" w:firstLineChars="200"/>
        <w:rPr>
          <w:rFonts w:ascii="仿宋_GB2312" w:eastAsia="仿宋_GB2312"/>
          <w:sz w:val="32"/>
          <w:szCs w:val="32"/>
        </w:rPr>
        <w:sectPr>
          <w:pgSz w:w="11906" w:h="16838"/>
          <w:pgMar w:top="1440" w:right="1800" w:bottom="1440" w:left="1800" w:header="851" w:footer="992" w:gutter="0"/>
          <w:pgNumType w:start="1"/>
          <w:cols w:space="425" w:num="1"/>
          <w:docGrid w:type="lines" w:linePitch="312" w:charSpace="0"/>
        </w:sectPr>
      </w:pPr>
      <w:r>
        <w:rPr>
          <w:rFonts w:hint="eastAsia" w:ascii="仿宋_GB2312" w:eastAsia="仿宋_GB2312"/>
          <w:b/>
          <w:sz w:val="32"/>
          <w:szCs w:val="32"/>
        </w:rPr>
        <w:t>生物液体燃料</w:t>
      </w:r>
      <w:r>
        <w:rPr>
          <w:rFonts w:hint="eastAsia" w:ascii="仿宋_GB2312" w:eastAsia="仿宋_GB2312"/>
          <w:sz w:val="32"/>
          <w:szCs w:val="32"/>
        </w:rPr>
        <w:t>。截至</w:t>
      </w:r>
      <w:r>
        <w:rPr>
          <w:rFonts w:ascii="仿宋_GB2312" w:eastAsia="仿宋_GB2312"/>
          <w:sz w:val="32"/>
          <w:szCs w:val="32"/>
        </w:rPr>
        <w:t>2015</w:t>
      </w:r>
      <w:r>
        <w:rPr>
          <w:rFonts w:hint="eastAsia" w:ascii="仿宋_GB2312" w:eastAsia="仿宋_GB2312"/>
          <w:sz w:val="32"/>
          <w:szCs w:val="32"/>
        </w:rPr>
        <w:t>年，燃料乙醇年产量约210万吨，生物柴油年产量约80万吨。生物柴油处于产业发展初期，纤维素燃料乙醇加快示范，我国自主研发生物航煤成功应用于商业化载客飞行示范。</w:t>
      </w:r>
    </w:p>
    <w:p w14:paraId="310AC974">
      <w:pPr>
        <w:spacing w:line="360" w:lineRule="auto"/>
        <w:ind w:firstLine="640" w:firstLineChars="200"/>
        <w:rPr>
          <w:rFonts w:ascii="仿宋_GB2312" w:eastAsia="仿宋_GB2312"/>
          <w:sz w:val="32"/>
          <w:szCs w:val="32"/>
        </w:rPr>
      </w:pPr>
    </w:p>
    <w:tbl>
      <w:tblPr>
        <w:tblStyle w:val="18"/>
        <w:tblW w:w="8789" w:type="dxa"/>
        <w:tblInd w:w="15" w:type="dxa"/>
        <w:tblLayout w:type="autofit"/>
        <w:tblCellMar>
          <w:top w:w="0" w:type="dxa"/>
          <w:left w:w="0" w:type="dxa"/>
          <w:bottom w:w="0" w:type="dxa"/>
          <w:right w:w="0" w:type="dxa"/>
        </w:tblCellMar>
      </w:tblPr>
      <w:tblGrid>
        <w:gridCol w:w="2410"/>
        <w:gridCol w:w="1265"/>
        <w:gridCol w:w="1080"/>
        <w:gridCol w:w="1341"/>
        <w:gridCol w:w="1254"/>
        <w:gridCol w:w="1439"/>
      </w:tblGrid>
      <w:tr w14:paraId="4A35FA6A">
        <w:tblPrEx>
          <w:tblCellMar>
            <w:top w:w="0" w:type="dxa"/>
            <w:left w:w="0" w:type="dxa"/>
            <w:bottom w:w="0" w:type="dxa"/>
            <w:right w:w="0" w:type="dxa"/>
          </w:tblCellMar>
        </w:tblPrEx>
        <w:trPr>
          <w:cantSplit/>
          <w:trHeight w:val="567" w:hRule="atLeast"/>
        </w:trPr>
        <w:tc>
          <w:tcPr>
            <w:tcW w:w="8789" w:type="dxa"/>
            <w:gridSpan w:val="6"/>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5E07AED6">
            <w:pPr>
              <w:spacing w:line="360" w:lineRule="auto"/>
              <w:jc w:val="center"/>
              <w:rPr>
                <w:b/>
                <w:sz w:val="24"/>
                <w:szCs w:val="24"/>
              </w:rPr>
            </w:pPr>
            <w:r>
              <w:rPr>
                <w:rFonts w:hint="eastAsia"/>
                <w:b/>
                <w:sz w:val="24"/>
                <w:szCs w:val="24"/>
              </w:rPr>
              <w:t>专栏1</w:t>
            </w:r>
            <w:r>
              <w:rPr>
                <w:b/>
                <w:sz w:val="24"/>
                <w:szCs w:val="24"/>
              </w:rPr>
              <w:t xml:space="preserve">  </w:t>
            </w:r>
            <w:r>
              <w:rPr>
                <w:rFonts w:hint="eastAsia"/>
                <w:b/>
                <w:sz w:val="24"/>
                <w:szCs w:val="24"/>
              </w:rPr>
              <w:t>全国生物质能利用现状</w:t>
            </w:r>
          </w:p>
        </w:tc>
      </w:tr>
      <w:tr w14:paraId="53CC6E10">
        <w:tblPrEx>
          <w:tblCellMar>
            <w:top w:w="0" w:type="dxa"/>
            <w:left w:w="0" w:type="dxa"/>
            <w:bottom w:w="0" w:type="dxa"/>
            <w:right w:w="0" w:type="dxa"/>
          </w:tblCellMar>
        </w:tblPrEx>
        <w:trPr>
          <w:cantSplit/>
          <w:trHeight w:val="567" w:hRule="atLeast"/>
        </w:trPr>
        <w:tc>
          <w:tcPr>
            <w:tcW w:w="241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3F7909DF">
            <w:pPr>
              <w:spacing w:line="360" w:lineRule="auto"/>
              <w:jc w:val="center"/>
              <w:rPr>
                <w:rFonts w:ascii="仿宋_GB2312" w:hAnsi="宋体" w:eastAsia="仿宋_GB2312"/>
                <w:b/>
                <w:bCs/>
                <w:sz w:val="24"/>
                <w:szCs w:val="24"/>
              </w:rPr>
            </w:pPr>
            <w:r>
              <w:rPr>
                <w:rFonts w:hint="eastAsia" w:ascii="仿宋_GB2312" w:hAnsi="宋体" w:eastAsia="仿宋_GB2312"/>
                <w:b/>
                <w:bCs/>
                <w:sz w:val="24"/>
                <w:szCs w:val="24"/>
              </w:rPr>
              <w:t>利用方式</w:t>
            </w:r>
          </w:p>
        </w:tc>
        <w:tc>
          <w:tcPr>
            <w:tcW w:w="2345" w:type="dxa"/>
            <w:gridSpan w:val="2"/>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14:paraId="1EE0BF40">
            <w:pPr>
              <w:spacing w:line="360" w:lineRule="auto"/>
              <w:jc w:val="center"/>
              <w:rPr>
                <w:rFonts w:ascii="仿宋_GB2312" w:hAnsi="宋体" w:eastAsia="仿宋_GB2312"/>
                <w:b/>
                <w:bCs/>
                <w:sz w:val="24"/>
                <w:szCs w:val="24"/>
              </w:rPr>
            </w:pPr>
            <w:r>
              <w:rPr>
                <w:rFonts w:hint="eastAsia" w:ascii="仿宋_GB2312" w:hAnsi="宋体" w:eastAsia="仿宋_GB2312"/>
                <w:b/>
                <w:bCs/>
                <w:sz w:val="24"/>
                <w:szCs w:val="24"/>
              </w:rPr>
              <w:t>利用规模</w:t>
            </w:r>
          </w:p>
        </w:tc>
        <w:tc>
          <w:tcPr>
            <w:tcW w:w="2595" w:type="dxa"/>
            <w:gridSpan w:val="2"/>
            <w:tcBorders>
              <w:top w:val="single" w:color="auto" w:sz="4" w:space="0"/>
              <w:left w:val="nil"/>
              <w:bottom w:val="single" w:color="auto" w:sz="4" w:space="0"/>
              <w:right w:val="single" w:color="000000" w:sz="4" w:space="0"/>
            </w:tcBorders>
            <w:tcMar>
              <w:top w:w="15" w:type="dxa"/>
              <w:left w:w="15" w:type="dxa"/>
              <w:bottom w:w="0" w:type="dxa"/>
              <w:right w:w="15" w:type="dxa"/>
            </w:tcMar>
            <w:vAlign w:val="center"/>
          </w:tcPr>
          <w:p w14:paraId="3077C42E">
            <w:pPr>
              <w:spacing w:line="360" w:lineRule="auto"/>
              <w:jc w:val="center"/>
              <w:rPr>
                <w:rFonts w:ascii="仿宋_GB2312" w:hAnsi="宋体" w:eastAsia="仿宋_GB2312"/>
                <w:b/>
                <w:bCs/>
                <w:sz w:val="24"/>
                <w:szCs w:val="24"/>
              </w:rPr>
            </w:pPr>
            <w:r>
              <w:rPr>
                <w:rFonts w:hint="eastAsia" w:ascii="仿宋_GB2312" w:hAnsi="宋体" w:eastAsia="仿宋_GB2312"/>
                <w:b/>
                <w:bCs/>
                <w:sz w:val="24"/>
                <w:szCs w:val="24"/>
              </w:rPr>
              <w:t>年产量</w:t>
            </w:r>
          </w:p>
        </w:tc>
        <w:tc>
          <w:tcPr>
            <w:tcW w:w="143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25963314">
            <w:pPr>
              <w:spacing w:line="360" w:lineRule="auto"/>
              <w:jc w:val="center"/>
              <w:rPr>
                <w:rFonts w:ascii="仿宋_GB2312" w:hAnsi="宋体" w:eastAsia="仿宋_GB2312"/>
                <w:b/>
                <w:bCs/>
                <w:sz w:val="24"/>
                <w:szCs w:val="24"/>
              </w:rPr>
            </w:pPr>
            <w:r>
              <w:rPr>
                <w:rFonts w:hint="eastAsia" w:ascii="仿宋_GB2312" w:hAnsi="宋体" w:eastAsia="仿宋_GB2312"/>
                <w:b/>
                <w:bCs/>
                <w:sz w:val="24"/>
                <w:szCs w:val="24"/>
              </w:rPr>
              <w:t>折标煤</w:t>
            </w:r>
          </w:p>
        </w:tc>
      </w:tr>
      <w:tr w14:paraId="6EA381A8">
        <w:tblPrEx>
          <w:tblCellMar>
            <w:top w:w="0" w:type="dxa"/>
            <w:left w:w="0" w:type="dxa"/>
            <w:bottom w:w="0" w:type="dxa"/>
            <w:right w:w="0" w:type="dxa"/>
          </w:tblCellMar>
        </w:tblPrEx>
        <w:trPr>
          <w:cantSplit/>
          <w:trHeight w:val="567" w:hRule="atLeast"/>
        </w:trPr>
        <w:tc>
          <w:tcPr>
            <w:tcW w:w="2410" w:type="dxa"/>
            <w:vMerge w:val="continue"/>
            <w:tcBorders>
              <w:top w:val="single" w:color="auto" w:sz="4" w:space="0"/>
              <w:left w:val="single" w:color="auto" w:sz="4" w:space="0"/>
              <w:bottom w:val="single" w:color="auto" w:sz="4" w:space="0"/>
              <w:right w:val="single" w:color="auto" w:sz="4" w:space="0"/>
            </w:tcBorders>
            <w:vAlign w:val="center"/>
          </w:tcPr>
          <w:p w14:paraId="4078917F">
            <w:pPr>
              <w:keepNext/>
              <w:keepLines/>
              <w:spacing w:line="360" w:lineRule="auto"/>
              <w:jc w:val="center"/>
              <w:outlineLvl w:val="0"/>
              <w:rPr>
                <w:rFonts w:ascii="仿宋_GB2312" w:hAnsi="宋体" w:eastAsia="仿宋_GB2312"/>
                <w:b/>
                <w:bCs/>
                <w:sz w:val="24"/>
                <w:szCs w:val="24"/>
              </w:rPr>
            </w:pPr>
          </w:p>
        </w:tc>
        <w:tc>
          <w:tcPr>
            <w:tcW w:w="12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5366FDE0">
            <w:pPr>
              <w:spacing w:line="360" w:lineRule="auto"/>
              <w:jc w:val="center"/>
              <w:rPr>
                <w:rFonts w:ascii="仿宋_GB2312" w:hAnsi="宋体" w:eastAsia="仿宋_GB2312"/>
                <w:b/>
                <w:bCs/>
                <w:sz w:val="24"/>
                <w:szCs w:val="24"/>
              </w:rPr>
            </w:pPr>
            <w:r>
              <w:rPr>
                <w:rFonts w:hint="eastAsia" w:ascii="仿宋_GB2312" w:hAnsi="宋体" w:eastAsia="仿宋_GB2312"/>
                <w:b/>
                <w:bCs/>
                <w:sz w:val="24"/>
                <w:szCs w:val="24"/>
              </w:rPr>
              <w:t>数量</w:t>
            </w:r>
          </w:p>
        </w:tc>
        <w:tc>
          <w:tcPr>
            <w:tcW w:w="108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14692A64">
            <w:pPr>
              <w:spacing w:line="360" w:lineRule="auto"/>
              <w:jc w:val="center"/>
              <w:rPr>
                <w:rFonts w:ascii="仿宋_GB2312" w:hAnsi="宋体" w:eastAsia="仿宋_GB2312"/>
                <w:b/>
                <w:bCs/>
                <w:sz w:val="24"/>
                <w:szCs w:val="24"/>
              </w:rPr>
            </w:pPr>
            <w:r>
              <w:rPr>
                <w:rFonts w:hint="eastAsia" w:ascii="仿宋_GB2312" w:hAnsi="宋体" w:eastAsia="仿宋_GB2312"/>
                <w:b/>
                <w:bCs/>
                <w:sz w:val="24"/>
                <w:szCs w:val="24"/>
              </w:rPr>
              <w:t>单位</w:t>
            </w:r>
          </w:p>
        </w:tc>
        <w:tc>
          <w:tcPr>
            <w:tcW w:w="134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634782B8">
            <w:pPr>
              <w:spacing w:line="360" w:lineRule="auto"/>
              <w:jc w:val="center"/>
              <w:rPr>
                <w:rFonts w:ascii="仿宋_GB2312" w:hAnsi="宋体" w:eastAsia="仿宋_GB2312"/>
                <w:b/>
                <w:bCs/>
                <w:sz w:val="24"/>
                <w:szCs w:val="24"/>
              </w:rPr>
            </w:pPr>
            <w:r>
              <w:rPr>
                <w:rFonts w:hint="eastAsia" w:ascii="仿宋_GB2312" w:hAnsi="宋体" w:eastAsia="仿宋_GB2312"/>
                <w:b/>
                <w:bCs/>
                <w:sz w:val="24"/>
                <w:szCs w:val="24"/>
              </w:rPr>
              <w:t>数量</w:t>
            </w:r>
          </w:p>
        </w:tc>
        <w:tc>
          <w:tcPr>
            <w:tcW w:w="125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7285C2C1">
            <w:pPr>
              <w:spacing w:line="360" w:lineRule="auto"/>
              <w:jc w:val="center"/>
              <w:rPr>
                <w:rFonts w:ascii="仿宋_GB2312" w:hAnsi="宋体" w:eastAsia="仿宋_GB2312"/>
                <w:b/>
                <w:bCs/>
                <w:sz w:val="24"/>
                <w:szCs w:val="24"/>
              </w:rPr>
            </w:pPr>
            <w:r>
              <w:rPr>
                <w:rFonts w:hint="eastAsia" w:ascii="仿宋_GB2312" w:hAnsi="宋体" w:eastAsia="仿宋_GB2312"/>
                <w:b/>
                <w:bCs/>
                <w:sz w:val="24"/>
                <w:szCs w:val="24"/>
              </w:rPr>
              <w:t>单位</w:t>
            </w:r>
          </w:p>
        </w:tc>
        <w:tc>
          <w:tcPr>
            <w:tcW w:w="143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4956B1B8">
            <w:pPr>
              <w:spacing w:line="360" w:lineRule="auto"/>
              <w:jc w:val="center"/>
              <w:rPr>
                <w:rFonts w:ascii="仿宋_GB2312" w:hAnsi="宋体" w:eastAsia="仿宋_GB2312"/>
                <w:b/>
                <w:bCs/>
                <w:sz w:val="24"/>
                <w:szCs w:val="24"/>
              </w:rPr>
            </w:pPr>
            <w:r>
              <w:rPr>
                <w:rFonts w:hint="eastAsia" w:ascii="仿宋_GB2312" w:hAnsi="宋体" w:eastAsia="仿宋_GB2312"/>
                <w:b/>
                <w:bCs/>
                <w:sz w:val="24"/>
                <w:szCs w:val="24"/>
              </w:rPr>
              <w:t>万吨</w:t>
            </w:r>
            <w:r>
              <w:rPr>
                <w:rFonts w:ascii="仿宋_GB2312" w:hAnsi="宋体" w:eastAsia="仿宋_GB2312"/>
                <w:b/>
                <w:bCs/>
                <w:sz w:val="24"/>
                <w:szCs w:val="24"/>
              </w:rPr>
              <w:t>/年</w:t>
            </w:r>
          </w:p>
        </w:tc>
      </w:tr>
      <w:tr w14:paraId="50DA20DA">
        <w:tblPrEx>
          <w:tblCellMar>
            <w:top w:w="0" w:type="dxa"/>
            <w:left w:w="0" w:type="dxa"/>
            <w:bottom w:w="0" w:type="dxa"/>
            <w:right w:w="0" w:type="dxa"/>
          </w:tblCellMar>
        </w:tblPrEx>
        <w:trPr>
          <w:trHeight w:val="567" w:hRule="atLeast"/>
        </w:trPr>
        <w:tc>
          <w:tcPr>
            <w:tcW w:w="241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2DF4B8FB">
            <w:pPr>
              <w:spacing w:line="360" w:lineRule="auto"/>
              <w:rPr>
                <w:rFonts w:ascii="仿宋_GB2312" w:hAnsi="宋体" w:eastAsia="仿宋_GB2312"/>
                <w:sz w:val="24"/>
                <w:szCs w:val="24"/>
              </w:rPr>
            </w:pPr>
            <w:r>
              <w:rPr>
                <w:rFonts w:hint="eastAsia" w:ascii="仿宋_GB2312" w:hAnsi="宋体" w:eastAsia="仿宋_GB2312"/>
                <w:sz w:val="24"/>
                <w:szCs w:val="24"/>
              </w:rPr>
              <w:t>1. 生物质发电</w:t>
            </w:r>
          </w:p>
        </w:tc>
        <w:tc>
          <w:tcPr>
            <w:tcW w:w="12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5B287FC3">
            <w:pPr>
              <w:spacing w:line="360" w:lineRule="auto"/>
              <w:jc w:val="center"/>
              <w:rPr>
                <w:rFonts w:ascii="仿宋_GB2312" w:hAnsi="宋体" w:eastAsia="仿宋_GB2312"/>
                <w:sz w:val="24"/>
                <w:szCs w:val="24"/>
              </w:rPr>
            </w:pPr>
            <w:r>
              <w:rPr>
                <w:rFonts w:hint="eastAsia" w:ascii="仿宋_GB2312" w:hAnsi="宋体" w:eastAsia="仿宋_GB2312"/>
                <w:sz w:val="24"/>
                <w:szCs w:val="24"/>
              </w:rPr>
              <w:t>1030</w:t>
            </w:r>
          </w:p>
        </w:tc>
        <w:tc>
          <w:tcPr>
            <w:tcW w:w="108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5D4B719A">
            <w:pPr>
              <w:spacing w:line="360" w:lineRule="auto"/>
              <w:jc w:val="center"/>
              <w:rPr>
                <w:rFonts w:ascii="仿宋_GB2312" w:hAnsi="宋体" w:eastAsia="仿宋_GB2312"/>
                <w:sz w:val="24"/>
                <w:szCs w:val="24"/>
              </w:rPr>
            </w:pPr>
            <w:r>
              <w:rPr>
                <w:rFonts w:hint="eastAsia" w:ascii="仿宋_GB2312" w:hAnsi="宋体" w:eastAsia="仿宋_GB2312"/>
                <w:sz w:val="24"/>
                <w:szCs w:val="24"/>
              </w:rPr>
              <w:t>万千瓦</w:t>
            </w:r>
          </w:p>
        </w:tc>
        <w:tc>
          <w:tcPr>
            <w:tcW w:w="134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36F1A2EE">
            <w:pPr>
              <w:tabs>
                <w:tab w:val="center" w:pos="525"/>
                <w:tab w:val="right" w:pos="1050"/>
              </w:tabs>
              <w:spacing w:line="360" w:lineRule="auto"/>
              <w:jc w:val="center"/>
              <w:rPr>
                <w:rFonts w:ascii="仿宋_GB2312" w:hAnsi="宋体" w:eastAsia="仿宋_GB2312"/>
                <w:sz w:val="24"/>
                <w:szCs w:val="24"/>
              </w:rPr>
            </w:pPr>
            <w:r>
              <w:rPr>
                <w:rFonts w:hint="eastAsia" w:ascii="仿宋_GB2312" w:hAnsi="宋体" w:eastAsia="仿宋_GB2312"/>
                <w:sz w:val="24"/>
                <w:szCs w:val="24"/>
              </w:rPr>
              <w:t>520</w:t>
            </w:r>
          </w:p>
        </w:tc>
        <w:tc>
          <w:tcPr>
            <w:tcW w:w="125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794CD007">
            <w:pPr>
              <w:spacing w:line="360" w:lineRule="auto"/>
              <w:jc w:val="center"/>
              <w:rPr>
                <w:rFonts w:ascii="仿宋_GB2312" w:hAnsi="宋体" w:eastAsia="仿宋_GB2312"/>
                <w:sz w:val="24"/>
                <w:szCs w:val="24"/>
              </w:rPr>
            </w:pPr>
            <w:r>
              <w:rPr>
                <w:rFonts w:hint="eastAsia" w:ascii="仿宋_GB2312" w:hAnsi="宋体" w:eastAsia="仿宋_GB2312"/>
                <w:sz w:val="24"/>
                <w:szCs w:val="24"/>
              </w:rPr>
              <w:t>亿千瓦时</w:t>
            </w:r>
          </w:p>
        </w:tc>
        <w:tc>
          <w:tcPr>
            <w:tcW w:w="143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49AA6869">
            <w:pPr>
              <w:tabs>
                <w:tab w:val="center" w:pos="525"/>
                <w:tab w:val="right" w:pos="1050"/>
              </w:tabs>
              <w:spacing w:line="360" w:lineRule="auto"/>
              <w:jc w:val="center"/>
              <w:rPr>
                <w:rFonts w:ascii="仿宋_GB2312" w:hAnsi="宋体" w:eastAsia="仿宋_GB2312"/>
                <w:sz w:val="24"/>
                <w:szCs w:val="24"/>
              </w:rPr>
            </w:pPr>
            <w:r>
              <w:rPr>
                <w:rFonts w:hint="eastAsia" w:ascii="仿宋_GB2312" w:hAnsi="宋体" w:eastAsia="仿宋_GB2312"/>
                <w:sz w:val="24"/>
                <w:szCs w:val="24"/>
              </w:rPr>
              <w:t>1520</w:t>
            </w:r>
          </w:p>
        </w:tc>
      </w:tr>
      <w:tr w14:paraId="743DC4B2">
        <w:tblPrEx>
          <w:tblCellMar>
            <w:top w:w="0" w:type="dxa"/>
            <w:left w:w="0" w:type="dxa"/>
            <w:bottom w:w="0" w:type="dxa"/>
            <w:right w:w="0" w:type="dxa"/>
          </w:tblCellMar>
        </w:tblPrEx>
        <w:trPr>
          <w:trHeight w:val="567" w:hRule="atLeast"/>
        </w:trPr>
        <w:tc>
          <w:tcPr>
            <w:tcW w:w="241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2F9EEA9D">
            <w:pPr>
              <w:spacing w:line="360" w:lineRule="auto"/>
              <w:rPr>
                <w:rFonts w:ascii="仿宋_GB2312" w:hAnsi="宋体" w:eastAsia="仿宋_GB2312"/>
                <w:sz w:val="24"/>
                <w:szCs w:val="24"/>
              </w:rPr>
            </w:pPr>
            <w:r>
              <w:rPr>
                <w:rFonts w:hint="eastAsia" w:ascii="仿宋_GB2312" w:hAnsi="宋体" w:eastAsia="仿宋_GB2312"/>
                <w:sz w:val="24"/>
                <w:szCs w:val="24"/>
              </w:rPr>
              <w:t>2. 户用沼气</w:t>
            </w:r>
          </w:p>
        </w:tc>
        <w:tc>
          <w:tcPr>
            <w:tcW w:w="12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2B76AAB0">
            <w:pPr>
              <w:spacing w:line="360" w:lineRule="auto"/>
              <w:jc w:val="center"/>
              <w:rPr>
                <w:rFonts w:ascii="仿宋_GB2312" w:hAnsi="宋体" w:eastAsia="仿宋_GB2312"/>
                <w:sz w:val="24"/>
                <w:szCs w:val="24"/>
              </w:rPr>
            </w:pPr>
            <w:r>
              <w:rPr>
                <w:rFonts w:ascii="仿宋_GB2312" w:hAnsi="宋体" w:eastAsia="仿宋_GB2312"/>
                <w:sz w:val="24"/>
                <w:szCs w:val="24"/>
              </w:rPr>
              <w:t>438</w:t>
            </w:r>
            <w:r>
              <w:rPr>
                <w:rFonts w:hint="eastAsia" w:ascii="仿宋_GB2312" w:hAnsi="宋体" w:eastAsia="仿宋_GB2312"/>
                <w:sz w:val="24"/>
                <w:szCs w:val="24"/>
              </w:rPr>
              <w:t>0</w:t>
            </w:r>
          </w:p>
        </w:tc>
        <w:tc>
          <w:tcPr>
            <w:tcW w:w="108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6F0A4A2A">
            <w:pPr>
              <w:spacing w:line="360" w:lineRule="auto"/>
              <w:jc w:val="center"/>
              <w:rPr>
                <w:rFonts w:ascii="仿宋_GB2312" w:hAnsi="宋体" w:eastAsia="仿宋_GB2312"/>
                <w:sz w:val="24"/>
                <w:szCs w:val="24"/>
              </w:rPr>
            </w:pPr>
            <w:r>
              <w:rPr>
                <w:rFonts w:hint="eastAsia" w:ascii="仿宋_GB2312" w:hAnsi="宋体" w:eastAsia="仿宋_GB2312"/>
                <w:sz w:val="24"/>
                <w:szCs w:val="24"/>
              </w:rPr>
              <w:t>万户</w:t>
            </w:r>
          </w:p>
        </w:tc>
        <w:tc>
          <w:tcPr>
            <w:tcW w:w="1341" w:type="dxa"/>
            <w:vMerge w:val="restart"/>
            <w:tcBorders>
              <w:top w:val="single" w:color="auto" w:sz="4" w:space="0"/>
              <w:left w:val="nil"/>
              <w:right w:val="single" w:color="auto" w:sz="4" w:space="0"/>
            </w:tcBorders>
            <w:tcMar>
              <w:top w:w="15" w:type="dxa"/>
              <w:left w:w="15" w:type="dxa"/>
              <w:bottom w:w="0" w:type="dxa"/>
              <w:right w:w="15" w:type="dxa"/>
            </w:tcMar>
            <w:vAlign w:val="center"/>
          </w:tcPr>
          <w:p w14:paraId="66D6BDEA">
            <w:pPr>
              <w:spacing w:line="360" w:lineRule="auto"/>
              <w:jc w:val="center"/>
              <w:rPr>
                <w:rFonts w:ascii="仿宋_GB2312" w:hAnsi="宋体" w:eastAsia="仿宋_GB2312"/>
                <w:sz w:val="24"/>
                <w:szCs w:val="24"/>
              </w:rPr>
            </w:pPr>
            <w:r>
              <w:rPr>
                <w:rFonts w:hint="eastAsia" w:ascii="仿宋_GB2312" w:hAnsi="宋体" w:eastAsia="仿宋_GB2312"/>
                <w:sz w:val="24"/>
                <w:szCs w:val="24"/>
              </w:rPr>
              <w:t>190</w:t>
            </w:r>
          </w:p>
        </w:tc>
        <w:tc>
          <w:tcPr>
            <w:tcW w:w="1254" w:type="dxa"/>
            <w:vMerge w:val="restart"/>
            <w:tcBorders>
              <w:top w:val="single" w:color="auto" w:sz="4" w:space="0"/>
              <w:left w:val="nil"/>
              <w:right w:val="single" w:color="auto" w:sz="4" w:space="0"/>
            </w:tcBorders>
            <w:tcMar>
              <w:top w:w="15" w:type="dxa"/>
              <w:left w:w="15" w:type="dxa"/>
              <w:bottom w:w="0" w:type="dxa"/>
              <w:right w:w="15" w:type="dxa"/>
            </w:tcMar>
            <w:vAlign w:val="center"/>
          </w:tcPr>
          <w:p w14:paraId="0859A87F">
            <w:pPr>
              <w:spacing w:line="360" w:lineRule="auto"/>
              <w:jc w:val="center"/>
              <w:rPr>
                <w:rFonts w:ascii="仿宋_GB2312" w:hAnsi="宋体" w:eastAsia="仿宋_GB2312"/>
                <w:sz w:val="24"/>
                <w:szCs w:val="24"/>
              </w:rPr>
            </w:pPr>
            <w:r>
              <w:rPr>
                <w:rFonts w:hint="eastAsia" w:ascii="仿宋_GB2312" w:hAnsi="宋体" w:eastAsia="仿宋_GB2312"/>
                <w:sz w:val="24"/>
                <w:szCs w:val="24"/>
              </w:rPr>
              <w:t>亿立方米</w:t>
            </w:r>
          </w:p>
        </w:tc>
        <w:tc>
          <w:tcPr>
            <w:tcW w:w="1439" w:type="dxa"/>
            <w:vMerge w:val="restart"/>
            <w:tcBorders>
              <w:top w:val="single" w:color="auto" w:sz="4" w:space="0"/>
              <w:left w:val="nil"/>
              <w:right w:val="single" w:color="auto" w:sz="4" w:space="0"/>
            </w:tcBorders>
            <w:tcMar>
              <w:top w:w="15" w:type="dxa"/>
              <w:left w:w="15" w:type="dxa"/>
              <w:bottom w:w="0" w:type="dxa"/>
              <w:right w:w="15" w:type="dxa"/>
            </w:tcMar>
            <w:vAlign w:val="center"/>
          </w:tcPr>
          <w:p w14:paraId="026CD72C">
            <w:pPr>
              <w:spacing w:line="360" w:lineRule="auto"/>
              <w:jc w:val="center"/>
              <w:rPr>
                <w:rFonts w:ascii="仿宋_GB2312" w:hAnsi="宋体" w:eastAsia="仿宋_GB2312"/>
                <w:sz w:val="24"/>
                <w:szCs w:val="24"/>
              </w:rPr>
            </w:pPr>
            <w:r>
              <w:rPr>
                <w:rFonts w:hint="eastAsia" w:ascii="仿宋_GB2312" w:hAnsi="宋体" w:eastAsia="仿宋_GB2312"/>
                <w:sz w:val="24"/>
                <w:szCs w:val="24"/>
              </w:rPr>
              <w:t>1320</w:t>
            </w:r>
          </w:p>
        </w:tc>
      </w:tr>
      <w:tr w14:paraId="67938AB0">
        <w:tblPrEx>
          <w:tblCellMar>
            <w:top w:w="0" w:type="dxa"/>
            <w:left w:w="0" w:type="dxa"/>
            <w:bottom w:w="0" w:type="dxa"/>
            <w:right w:w="0" w:type="dxa"/>
          </w:tblCellMar>
        </w:tblPrEx>
        <w:trPr>
          <w:trHeight w:val="567" w:hRule="atLeast"/>
        </w:trPr>
        <w:tc>
          <w:tcPr>
            <w:tcW w:w="241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24193F4F">
            <w:pPr>
              <w:spacing w:line="360" w:lineRule="auto"/>
              <w:rPr>
                <w:rFonts w:ascii="仿宋_GB2312" w:hAnsi="宋体" w:eastAsia="仿宋_GB2312"/>
                <w:sz w:val="24"/>
                <w:szCs w:val="24"/>
              </w:rPr>
            </w:pPr>
            <w:r>
              <w:rPr>
                <w:rFonts w:hint="eastAsia" w:ascii="仿宋_GB2312" w:hAnsi="宋体" w:eastAsia="仿宋_GB2312"/>
                <w:sz w:val="24"/>
                <w:szCs w:val="24"/>
              </w:rPr>
              <w:t>3. 大型沼气工程</w:t>
            </w:r>
          </w:p>
        </w:tc>
        <w:tc>
          <w:tcPr>
            <w:tcW w:w="12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01DEB888">
            <w:pPr>
              <w:spacing w:line="360" w:lineRule="auto"/>
              <w:jc w:val="center"/>
              <w:rPr>
                <w:rFonts w:ascii="仿宋_GB2312" w:hAnsi="宋体" w:eastAsia="仿宋_GB2312"/>
                <w:sz w:val="24"/>
                <w:szCs w:val="24"/>
              </w:rPr>
            </w:pPr>
            <w:r>
              <w:rPr>
                <w:rFonts w:hint="eastAsia" w:ascii="仿宋_GB2312" w:hAnsi="宋体" w:eastAsia="仿宋_GB2312"/>
                <w:sz w:val="24"/>
                <w:szCs w:val="24"/>
              </w:rPr>
              <w:t>10</w:t>
            </w:r>
          </w:p>
        </w:tc>
        <w:tc>
          <w:tcPr>
            <w:tcW w:w="108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52ADA622">
            <w:pPr>
              <w:spacing w:line="360" w:lineRule="auto"/>
              <w:jc w:val="center"/>
              <w:rPr>
                <w:rFonts w:ascii="仿宋_GB2312" w:hAnsi="宋体" w:eastAsia="仿宋_GB2312"/>
                <w:sz w:val="24"/>
                <w:szCs w:val="24"/>
              </w:rPr>
            </w:pPr>
            <w:r>
              <w:rPr>
                <w:rFonts w:hint="eastAsia" w:ascii="仿宋_GB2312" w:hAnsi="宋体" w:eastAsia="仿宋_GB2312"/>
                <w:sz w:val="24"/>
                <w:szCs w:val="24"/>
              </w:rPr>
              <w:t>万处</w:t>
            </w:r>
          </w:p>
        </w:tc>
        <w:tc>
          <w:tcPr>
            <w:tcW w:w="1341" w:type="dxa"/>
            <w:vMerge w:val="continue"/>
            <w:tcBorders>
              <w:top w:val="single" w:color="auto" w:sz="4" w:space="0"/>
              <w:left w:val="nil"/>
              <w:right w:val="single" w:color="auto" w:sz="4" w:space="0"/>
            </w:tcBorders>
            <w:tcMar>
              <w:top w:w="15" w:type="dxa"/>
              <w:left w:w="15" w:type="dxa"/>
              <w:bottom w:w="0" w:type="dxa"/>
              <w:right w:w="15" w:type="dxa"/>
            </w:tcMar>
            <w:vAlign w:val="center"/>
          </w:tcPr>
          <w:p w14:paraId="1A58B3C3">
            <w:pPr>
              <w:keepNext/>
              <w:keepLines/>
              <w:spacing w:line="360" w:lineRule="auto"/>
              <w:jc w:val="center"/>
              <w:outlineLvl w:val="0"/>
              <w:rPr>
                <w:rFonts w:ascii="仿宋_GB2312" w:hAnsi="宋体" w:eastAsia="仿宋_GB2312"/>
                <w:sz w:val="24"/>
                <w:szCs w:val="24"/>
              </w:rPr>
            </w:pPr>
          </w:p>
        </w:tc>
        <w:tc>
          <w:tcPr>
            <w:tcW w:w="1254" w:type="dxa"/>
            <w:vMerge w:val="continue"/>
            <w:tcBorders>
              <w:top w:val="single" w:color="auto" w:sz="4" w:space="0"/>
              <w:left w:val="nil"/>
              <w:right w:val="single" w:color="auto" w:sz="4" w:space="0"/>
            </w:tcBorders>
            <w:tcMar>
              <w:top w:w="15" w:type="dxa"/>
              <w:left w:w="15" w:type="dxa"/>
              <w:bottom w:w="0" w:type="dxa"/>
              <w:right w:w="15" w:type="dxa"/>
            </w:tcMar>
            <w:vAlign w:val="center"/>
          </w:tcPr>
          <w:p w14:paraId="697BEA7E">
            <w:pPr>
              <w:keepNext/>
              <w:keepLines/>
              <w:spacing w:line="360" w:lineRule="auto"/>
              <w:jc w:val="center"/>
              <w:outlineLvl w:val="0"/>
              <w:rPr>
                <w:rFonts w:ascii="仿宋_GB2312" w:hAnsi="宋体" w:eastAsia="仿宋_GB2312"/>
                <w:sz w:val="24"/>
                <w:szCs w:val="24"/>
              </w:rPr>
            </w:pPr>
          </w:p>
        </w:tc>
        <w:tc>
          <w:tcPr>
            <w:tcW w:w="1439" w:type="dxa"/>
            <w:vMerge w:val="continue"/>
            <w:tcBorders>
              <w:top w:val="single" w:color="auto" w:sz="4" w:space="0"/>
              <w:left w:val="nil"/>
              <w:right w:val="single" w:color="auto" w:sz="4" w:space="0"/>
            </w:tcBorders>
            <w:tcMar>
              <w:top w:w="15" w:type="dxa"/>
              <w:left w:w="15" w:type="dxa"/>
              <w:bottom w:w="0" w:type="dxa"/>
              <w:right w:w="15" w:type="dxa"/>
            </w:tcMar>
            <w:vAlign w:val="center"/>
          </w:tcPr>
          <w:p w14:paraId="4DAF6C53">
            <w:pPr>
              <w:keepNext/>
              <w:keepLines/>
              <w:spacing w:line="360" w:lineRule="auto"/>
              <w:jc w:val="center"/>
              <w:outlineLvl w:val="0"/>
              <w:rPr>
                <w:rFonts w:ascii="仿宋_GB2312" w:hAnsi="宋体" w:eastAsia="仿宋_GB2312"/>
                <w:sz w:val="24"/>
                <w:szCs w:val="24"/>
              </w:rPr>
            </w:pPr>
          </w:p>
        </w:tc>
      </w:tr>
      <w:tr w14:paraId="1B3EED61">
        <w:trPr>
          <w:trHeight w:val="567" w:hRule="atLeast"/>
        </w:trPr>
        <w:tc>
          <w:tcPr>
            <w:tcW w:w="241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0AAB4F7C">
            <w:pPr>
              <w:spacing w:line="360" w:lineRule="auto"/>
              <w:rPr>
                <w:rFonts w:ascii="仿宋_GB2312" w:hAnsi="宋体" w:eastAsia="仿宋_GB2312"/>
                <w:sz w:val="24"/>
                <w:szCs w:val="24"/>
              </w:rPr>
            </w:pPr>
            <w:r>
              <w:rPr>
                <w:rFonts w:hint="eastAsia" w:ascii="仿宋_GB2312" w:hAnsi="宋体" w:eastAsia="仿宋_GB2312"/>
                <w:sz w:val="24"/>
                <w:szCs w:val="24"/>
              </w:rPr>
              <w:t>4. 生物质成型燃料</w:t>
            </w:r>
          </w:p>
        </w:tc>
        <w:tc>
          <w:tcPr>
            <w:tcW w:w="12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00CACD4E">
            <w:pPr>
              <w:spacing w:line="360" w:lineRule="auto"/>
              <w:jc w:val="center"/>
              <w:rPr>
                <w:rFonts w:ascii="仿宋_GB2312" w:hAnsi="宋体" w:eastAsia="仿宋_GB2312"/>
                <w:sz w:val="24"/>
                <w:szCs w:val="24"/>
              </w:rPr>
            </w:pPr>
            <w:r>
              <w:rPr>
                <w:rFonts w:hint="eastAsia" w:ascii="仿宋_GB2312" w:hAnsi="宋体" w:eastAsia="仿宋_GB2312"/>
                <w:sz w:val="24"/>
                <w:szCs w:val="24"/>
              </w:rPr>
              <w:t>800</w:t>
            </w:r>
          </w:p>
        </w:tc>
        <w:tc>
          <w:tcPr>
            <w:tcW w:w="108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1780B0BF">
            <w:pPr>
              <w:spacing w:line="360" w:lineRule="auto"/>
              <w:jc w:val="center"/>
              <w:rPr>
                <w:rFonts w:ascii="仿宋_GB2312" w:hAnsi="宋体" w:eastAsia="仿宋_GB2312"/>
                <w:sz w:val="24"/>
                <w:szCs w:val="24"/>
              </w:rPr>
            </w:pPr>
            <w:r>
              <w:rPr>
                <w:rFonts w:hint="eastAsia" w:ascii="仿宋_GB2312" w:hAnsi="宋体" w:eastAsia="仿宋_GB2312"/>
                <w:sz w:val="24"/>
                <w:szCs w:val="24"/>
              </w:rPr>
              <w:t>万吨</w:t>
            </w:r>
          </w:p>
        </w:tc>
        <w:tc>
          <w:tcPr>
            <w:tcW w:w="134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3569D638">
            <w:pPr>
              <w:keepNext/>
              <w:keepLines/>
              <w:spacing w:line="360" w:lineRule="auto"/>
              <w:jc w:val="center"/>
              <w:outlineLvl w:val="0"/>
              <w:rPr>
                <w:rFonts w:ascii="仿宋_GB2312" w:hAnsi="宋体" w:eastAsia="仿宋_GB2312"/>
                <w:sz w:val="24"/>
                <w:szCs w:val="24"/>
              </w:rPr>
            </w:pPr>
          </w:p>
        </w:tc>
        <w:tc>
          <w:tcPr>
            <w:tcW w:w="125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3D5320C4">
            <w:pPr>
              <w:keepNext/>
              <w:keepLines/>
              <w:spacing w:line="360" w:lineRule="auto"/>
              <w:jc w:val="center"/>
              <w:outlineLvl w:val="0"/>
              <w:rPr>
                <w:rFonts w:ascii="仿宋_GB2312" w:hAnsi="宋体" w:eastAsia="仿宋_GB2312"/>
                <w:sz w:val="24"/>
                <w:szCs w:val="24"/>
              </w:rPr>
            </w:pPr>
          </w:p>
        </w:tc>
        <w:tc>
          <w:tcPr>
            <w:tcW w:w="143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1F3AFB12">
            <w:pPr>
              <w:spacing w:line="360" w:lineRule="auto"/>
              <w:jc w:val="center"/>
              <w:rPr>
                <w:rFonts w:ascii="仿宋_GB2312" w:hAnsi="宋体" w:eastAsia="仿宋_GB2312"/>
                <w:sz w:val="24"/>
                <w:szCs w:val="24"/>
              </w:rPr>
            </w:pPr>
            <w:r>
              <w:rPr>
                <w:rFonts w:hint="eastAsia" w:ascii="仿宋_GB2312" w:hAnsi="宋体" w:eastAsia="仿宋_GB2312"/>
                <w:sz w:val="24"/>
                <w:szCs w:val="24"/>
              </w:rPr>
              <w:t>400</w:t>
            </w:r>
          </w:p>
        </w:tc>
      </w:tr>
      <w:tr w14:paraId="3A48B092">
        <w:tblPrEx>
          <w:tblCellMar>
            <w:top w:w="0" w:type="dxa"/>
            <w:left w:w="0" w:type="dxa"/>
            <w:bottom w:w="0" w:type="dxa"/>
            <w:right w:w="0" w:type="dxa"/>
          </w:tblCellMar>
        </w:tblPrEx>
        <w:trPr>
          <w:trHeight w:val="567" w:hRule="atLeast"/>
        </w:trPr>
        <w:tc>
          <w:tcPr>
            <w:tcW w:w="241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011380EF">
            <w:pPr>
              <w:spacing w:line="360" w:lineRule="auto"/>
              <w:rPr>
                <w:rFonts w:ascii="仿宋_GB2312" w:hAnsi="宋体" w:eastAsia="仿宋_GB2312"/>
                <w:sz w:val="24"/>
                <w:szCs w:val="24"/>
              </w:rPr>
            </w:pPr>
            <w:r>
              <w:rPr>
                <w:rFonts w:hint="eastAsia" w:ascii="仿宋_GB2312" w:hAnsi="宋体" w:eastAsia="仿宋_GB2312"/>
                <w:sz w:val="24"/>
                <w:szCs w:val="24"/>
              </w:rPr>
              <w:t>5. 生物燃料乙醇</w:t>
            </w:r>
          </w:p>
        </w:tc>
        <w:tc>
          <w:tcPr>
            <w:tcW w:w="12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141995E2">
            <w:pPr>
              <w:spacing w:line="360" w:lineRule="auto"/>
              <w:jc w:val="center"/>
              <w:rPr>
                <w:rFonts w:ascii="仿宋_GB2312" w:hAnsi="宋体" w:eastAsia="仿宋_GB2312"/>
                <w:sz w:val="24"/>
                <w:szCs w:val="24"/>
              </w:rPr>
            </w:pPr>
          </w:p>
        </w:tc>
        <w:tc>
          <w:tcPr>
            <w:tcW w:w="108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76B52F62">
            <w:pPr>
              <w:keepNext/>
              <w:keepLines/>
              <w:spacing w:line="360" w:lineRule="auto"/>
              <w:jc w:val="center"/>
              <w:outlineLvl w:val="0"/>
              <w:rPr>
                <w:rFonts w:ascii="仿宋_GB2312" w:hAnsi="宋体" w:eastAsia="仿宋_GB2312"/>
                <w:sz w:val="24"/>
                <w:szCs w:val="24"/>
              </w:rPr>
            </w:pPr>
          </w:p>
        </w:tc>
        <w:tc>
          <w:tcPr>
            <w:tcW w:w="134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7416F157">
            <w:pPr>
              <w:spacing w:line="360" w:lineRule="auto"/>
              <w:jc w:val="center"/>
              <w:rPr>
                <w:rFonts w:ascii="仿宋_GB2312" w:hAnsi="宋体" w:eastAsia="仿宋_GB2312"/>
                <w:sz w:val="24"/>
                <w:szCs w:val="24"/>
              </w:rPr>
            </w:pPr>
            <w:r>
              <w:rPr>
                <w:rFonts w:hint="eastAsia" w:ascii="仿宋_GB2312" w:hAnsi="宋体" w:eastAsia="仿宋_GB2312"/>
                <w:sz w:val="24"/>
                <w:szCs w:val="24"/>
              </w:rPr>
              <w:t>210</w:t>
            </w:r>
          </w:p>
        </w:tc>
        <w:tc>
          <w:tcPr>
            <w:tcW w:w="125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7B4C83F8">
            <w:pPr>
              <w:spacing w:line="360" w:lineRule="auto"/>
              <w:jc w:val="center"/>
              <w:rPr>
                <w:rFonts w:ascii="仿宋_GB2312" w:hAnsi="宋体" w:eastAsia="仿宋_GB2312"/>
                <w:sz w:val="24"/>
                <w:szCs w:val="24"/>
              </w:rPr>
            </w:pPr>
            <w:r>
              <w:rPr>
                <w:rFonts w:hint="eastAsia" w:ascii="仿宋_GB2312" w:hAnsi="宋体" w:eastAsia="仿宋_GB2312"/>
                <w:sz w:val="24"/>
                <w:szCs w:val="24"/>
              </w:rPr>
              <w:t>万吨</w:t>
            </w:r>
          </w:p>
        </w:tc>
        <w:tc>
          <w:tcPr>
            <w:tcW w:w="143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1550B762">
            <w:pPr>
              <w:spacing w:line="360" w:lineRule="auto"/>
              <w:jc w:val="center"/>
              <w:rPr>
                <w:rFonts w:ascii="仿宋_GB2312" w:hAnsi="宋体" w:eastAsia="仿宋_GB2312"/>
                <w:sz w:val="24"/>
                <w:szCs w:val="24"/>
              </w:rPr>
            </w:pPr>
            <w:r>
              <w:rPr>
                <w:rFonts w:ascii="仿宋_GB2312" w:hAnsi="宋体" w:eastAsia="仿宋_GB2312"/>
                <w:sz w:val="24"/>
                <w:szCs w:val="24"/>
              </w:rPr>
              <w:t>180</w:t>
            </w:r>
          </w:p>
        </w:tc>
      </w:tr>
      <w:tr w14:paraId="7102C00A">
        <w:tblPrEx>
          <w:tblCellMar>
            <w:top w:w="0" w:type="dxa"/>
            <w:left w:w="0" w:type="dxa"/>
            <w:bottom w:w="0" w:type="dxa"/>
            <w:right w:w="0" w:type="dxa"/>
          </w:tblCellMar>
        </w:tblPrEx>
        <w:trPr>
          <w:trHeight w:val="567" w:hRule="atLeast"/>
        </w:trPr>
        <w:tc>
          <w:tcPr>
            <w:tcW w:w="241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65618CFE">
            <w:pPr>
              <w:spacing w:line="360" w:lineRule="auto"/>
              <w:rPr>
                <w:rFonts w:ascii="仿宋_GB2312" w:hAnsi="宋体" w:eastAsia="仿宋_GB2312"/>
                <w:sz w:val="24"/>
                <w:szCs w:val="24"/>
              </w:rPr>
            </w:pPr>
            <w:r>
              <w:rPr>
                <w:rFonts w:hint="eastAsia" w:ascii="仿宋_GB2312" w:hAnsi="宋体" w:eastAsia="仿宋_GB2312"/>
                <w:sz w:val="24"/>
                <w:szCs w:val="24"/>
              </w:rPr>
              <w:t>6. 生物柴油</w:t>
            </w:r>
          </w:p>
        </w:tc>
        <w:tc>
          <w:tcPr>
            <w:tcW w:w="12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42EAB8E2">
            <w:pPr>
              <w:spacing w:line="360" w:lineRule="auto"/>
              <w:jc w:val="center"/>
              <w:rPr>
                <w:rFonts w:ascii="仿宋_GB2312" w:hAnsi="宋体" w:eastAsia="仿宋_GB2312"/>
                <w:sz w:val="24"/>
                <w:szCs w:val="24"/>
              </w:rPr>
            </w:pPr>
          </w:p>
        </w:tc>
        <w:tc>
          <w:tcPr>
            <w:tcW w:w="108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51207E9D">
            <w:pPr>
              <w:keepNext/>
              <w:keepLines/>
              <w:spacing w:line="360" w:lineRule="auto"/>
              <w:jc w:val="center"/>
              <w:outlineLvl w:val="0"/>
              <w:rPr>
                <w:rFonts w:ascii="仿宋_GB2312" w:hAnsi="宋体" w:eastAsia="仿宋_GB2312"/>
                <w:sz w:val="24"/>
                <w:szCs w:val="24"/>
              </w:rPr>
            </w:pPr>
          </w:p>
        </w:tc>
        <w:tc>
          <w:tcPr>
            <w:tcW w:w="134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47A6BF06">
            <w:pPr>
              <w:spacing w:line="360" w:lineRule="auto"/>
              <w:jc w:val="center"/>
              <w:rPr>
                <w:rFonts w:ascii="仿宋_GB2312" w:hAnsi="宋体" w:eastAsia="仿宋_GB2312"/>
                <w:sz w:val="24"/>
                <w:szCs w:val="24"/>
              </w:rPr>
            </w:pPr>
            <w:r>
              <w:rPr>
                <w:rFonts w:hint="eastAsia" w:ascii="仿宋_GB2312" w:hAnsi="宋体" w:eastAsia="仿宋_GB2312"/>
                <w:sz w:val="24"/>
                <w:szCs w:val="24"/>
              </w:rPr>
              <w:t>80</w:t>
            </w:r>
          </w:p>
        </w:tc>
        <w:tc>
          <w:tcPr>
            <w:tcW w:w="125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37F981DF">
            <w:pPr>
              <w:spacing w:line="360" w:lineRule="auto"/>
              <w:jc w:val="center"/>
              <w:rPr>
                <w:rFonts w:ascii="仿宋_GB2312" w:hAnsi="宋体" w:eastAsia="仿宋_GB2312"/>
                <w:sz w:val="24"/>
                <w:szCs w:val="24"/>
              </w:rPr>
            </w:pPr>
            <w:r>
              <w:rPr>
                <w:rFonts w:hint="eastAsia" w:ascii="仿宋_GB2312" w:hAnsi="宋体" w:eastAsia="仿宋_GB2312"/>
                <w:sz w:val="24"/>
                <w:szCs w:val="24"/>
              </w:rPr>
              <w:t>万吨</w:t>
            </w:r>
          </w:p>
        </w:tc>
        <w:tc>
          <w:tcPr>
            <w:tcW w:w="143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397D09B2">
            <w:pPr>
              <w:spacing w:line="360" w:lineRule="auto"/>
              <w:jc w:val="center"/>
              <w:rPr>
                <w:rFonts w:ascii="仿宋_GB2312" w:hAnsi="宋体" w:eastAsia="仿宋_GB2312"/>
                <w:sz w:val="24"/>
                <w:szCs w:val="24"/>
              </w:rPr>
            </w:pPr>
            <w:r>
              <w:rPr>
                <w:rFonts w:ascii="仿宋_GB2312" w:hAnsi="宋体" w:eastAsia="仿宋_GB2312"/>
                <w:sz w:val="24"/>
                <w:szCs w:val="24"/>
              </w:rPr>
              <w:t>120</w:t>
            </w:r>
          </w:p>
        </w:tc>
      </w:tr>
      <w:tr w14:paraId="51FAA5B1">
        <w:tblPrEx>
          <w:tblCellMar>
            <w:top w:w="0" w:type="dxa"/>
            <w:left w:w="0" w:type="dxa"/>
            <w:bottom w:w="0" w:type="dxa"/>
            <w:right w:w="0" w:type="dxa"/>
          </w:tblCellMar>
        </w:tblPrEx>
        <w:trPr>
          <w:trHeight w:val="567" w:hRule="atLeast"/>
        </w:trPr>
        <w:tc>
          <w:tcPr>
            <w:tcW w:w="241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0239C8DA">
            <w:pPr>
              <w:spacing w:line="360" w:lineRule="auto"/>
              <w:jc w:val="center"/>
              <w:rPr>
                <w:rFonts w:ascii="仿宋_GB2312" w:hAnsi="宋体" w:eastAsia="仿宋_GB2312"/>
                <w:b/>
                <w:bCs/>
                <w:sz w:val="24"/>
                <w:szCs w:val="24"/>
              </w:rPr>
            </w:pPr>
            <w:r>
              <w:rPr>
                <w:rFonts w:hint="eastAsia" w:ascii="仿宋_GB2312" w:hAnsi="宋体" w:eastAsia="仿宋_GB2312"/>
                <w:b/>
                <w:bCs/>
                <w:sz w:val="24"/>
                <w:szCs w:val="24"/>
              </w:rPr>
              <w:t>总 计</w:t>
            </w:r>
          </w:p>
        </w:tc>
        <w:tc>
          <w:tcPr>
            <w:tcW w:w="126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0334E4E0">
            <w:pPr>
              <w:keepNext/>
              <w:keepLines/>
              <w:spacing w:line="360" w:lineRule="auto"/>
              <w:jc w:val="center"/>
              <w:outlineLvl w:val="0"/>
              <w:rPr>
                <w:rFonts w:ascii="仿宋_GB2312" w:hAnsi="宋体" w:eastAsia="仿宋_GB2312"/>
                <w:b/>
                <w:bCs/>
                <w:sz w:val="24"/>
                <w:szCs w:val="24"/>
              </w:rPr>
            </w:pPr>
          </w:p>
        </w:tc>
        <w:tc>
          <w:tcPr>
            <w:tcW w:w="108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21FF0DAE">
            <w:pPr>
              <w:keepNext/>
              <w:keepLines/>
              <w:spacing w:line="360" w:lineRule="auto"/>
              <w:jc w:val="center"/>
              <w:outlineLvl w:val="0"/>
              <w:rPr>
                <w:rFonts w:ascii="仿宋_GB2312" w:hAnsi="宋体" w:eastAsia="仿宋_GB2312"/>
                <w:b/>
                <w:bCs/>
                <w:sz w:val="24"/>
                <w:szCs w:val="24"/>
              </w:rPr>
            </w:pPr>
          </w:p>
        </w:tc>
        <w:tc>
          <w:tcPr>
            <w:tcW w:w="134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5046E270">
            <w:pPr>
              <w:keepNext/>
              <w:keepLines/>
              <w:spacing w:line="360" w:lineRule="auto"/>
              <w:jc w:val="center"/>
              <w:outlineLvl w:val="0"/>
              <w:rPr>
                <w:rFonts w:ascii="仿宋_GB2312" w:hAnsi="宋体" w:eastAsia="仿宋_GB2312"/>
                <w:sz w:val="24"/>
                <w:szCs w:val="24"/>
              </w:rPr>
            </w:pPr>
          </w:p>
        </w:tc>
        <w:tc>
          <w:tcPr>
            <w:tcW w:w="1254"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1CC53E71">
            <w:pPr>
              <w:keepNext/>
              <w:keepLines/>
              <w:spacing w:line="360" w:lineRule="auto"/>
              <w:jc w:val="center"/>
              <w:outlineLvl w:val="0"/>
              <w:rPr>
                <w:rFonts w:ascii="仿宋_GB2312" w:hAnsi="宋体" w:eastAsia="仿宋_GB2312"/>
                <w:sz w:val="24"/>
                <w:szCs w:val="24"/>
              </w:rPr>
            </w:pPr>
          </w:p>
        </w:tc>
        <w:tc>
          <w:tcPr>
            <w:tcW w:w="143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14:paraId="7CE1C7ED">
            <w:pPr>
              <w:spacing w:line="360" w:lineRule="auto"/>
              <w:jc w:val="center"/>
              <w:rPr>
                <w:rFonts w:ascii="仿宋_GB2312" w:hAnsi="宋体" w:eastAsia="仿宋_GB2312"/>
                <w:b/>
                <w:bCs/>
                <w:sz w:val="24"/>
                <w:szCs w:val="24"/>
              </w:rPr>
            </w:pPr>
            <w:r>
              <w:rPr>
                <w:rFonts w:hint="eastAsia" w:ascii="仿宋_GB2312" w:hAnsi="宋体" w:eastAsia="仿宋_GB2312"/>
                <w:b/>
                <w:bCs/>
                <w:sz w:val="24"/>
                <w:szCs w:val="24"/>
              </w:rPr>
              <w:t>3540</w:t>
            </w:r>
          </w:p>
        </w:tc>
      </w:tr>
    </w:tbl>
    <w:p w14:paraId="6DF7AE1A">
      <w:pPr>
        <w:pStyle w:val="3"/>
        <w:spacing w:line="360" w:lineRule="auto"/>
        <w:rPr>
          <w:rFonts w:ascii="仿宋_GB2312" w:eastAsia="仿宋_GB2312"/>
          <w:sz w:val="32"/>
        </w:rPr>
      </w:pPr>
      <w:bookmarkStart w:id="9" w:name="_Toc457378369"/>
      <w:r>
        <w:rPr>
          <w:rFonts w:hint="eastAsia" w:ascii="黑体" w:hAnsi="黑体" w:eastAsia="黑体"/>
          <w:sz w:val="32"/>
        </w:rPr>
        <w:t>（二）存在问题</w:t>
      </w:r>
      <w:bookmarkEnd w:id="9"/>
    </w:p>
    <w:p w14:paraId="3B1989B3">
      <w:pPr>
        <w:spacing w:line="360" w:lineRule="auto"/>
        <w:ind w:firstLine="640" w:firstLineChars="200"/>
        <w:rPr>
          <w:rFonts w:ascii="仿宋_GB2312" w:eastAsia="仿宋_GB2312"/>
          <w:sz w:val="32"/>
          <w:szCs w:val="32"/>
        </w:rPr>
      </w:pPr>
      <w:r>
        <w:rPr>
          <w:rFonts w:hint="eastAsia" w:ascii="仿宋_GB2312" w:eastAsia="仿宋_GB2312"/>
          <w:sz w:val="32"/>
          <w:szCs w:val="32"/>
        </w:rPr>
        <w:t>生物质能是唯一可转化成多种能源产品的新能源，通过处理废弃物直接改善当地环境，是发展循环经济的重要内容，综合效益明显。从资源和发展潜力来看，生物质能总体仍处于发展初期，还存在以下主要问题：</w:t>
      </w:r>
    </w:p>
    <w:p w14:paraId="43506AFD">
      <w:pPr>
        <w:spacing w:line="360" w:lineRule="auto"/>
        <w:ind w:firstLine="643" w:firstLineChars="200"/>
        <w:rPr>
          <w:rFonts w:ascii="仿宋_GB2312" w:eastAsia="仿宋_GB2312"/>
          <w:b/>
          <w:sz w:val="32"/>
          <w:szCs w:val="32"/>
        </w:rPr>
      </w:pPr>
      <w:r>
        <w:rPr>
          <w:rFonts w:hint="eastAsia" w:ascii="仿宋_GB2312" w:eastAsia="仿宋_GB2312"/>
          <w:b/>
          <w:sz w:val="32"/>
          <w:szCs w:val="32"/>
        </w:rPr>
        <w:t>一是尚未</w:t>
      </w:r>
      <w:r>
        <w:rPr>
          <w:rFonts w:hint="eastAsia" w:ascii="仿宋_GB2312" w:eastAsia="仿宋_GB2312"/>
          <w:b/>
          <w:sz w:val="32"/>
          <w:szCs w:val="32"/>
          <w:lang w:val="en-US" w:eastAsia="zh-CN"/>
        </w:rPr>
        <w:t>达</w:t>
      </w:r>
      <w:r>
        <w:rPr>
          <w:rFonts w:hint="eastAsia" w:ascii="仿宋_GB2312" w:eastAsia="仿宋_GB2312"/>
          <w:b/>
          <w:sz w:val="32"/>
          <w:szCs w:val="32"/>
        </w:rPr>
        <w:t>成</w:t>
      </w:r>
      <w:bookmarkStart w:id="28" w:name="_GoBack"/>
      <w:bookmarkEnd w:id="28"/>
      <w:r>
        <w:rPr>
          <w:rFonts w:hint="eastAsia" w:ascii="仿宋_GB2312" w:eastAsia="仿宋_GB2312"/>
          <w:b/>
          <w:sz w:val="32"/>
          <w:szCs w:val="32"/>
        </w:rPr>
        <w:t>共识。</w:t>
      </w:r>
      <w:r>
        <w:rPr>
          <w:rFonts w:hint="eastAsia" w:ascii="仿宋_GB2312" w:eastAsia="仿宋_GB2312"/>
          <w:sz w:val="32"/>
          <w:szCs w:val="32"/>
        </w:rPr>
        <w:t>目前社会各界对生物质能认识不够充分，一些地方甚至限制成型燃料等生物质能应用，导致生物质能发展受到制约。</w:t>
      </w:r>
    </w:p>
    <w:p w14:paraId="066A839E">
      <w:pPr>
        <w:spacing w:line="360" w:lineRule="auto"/>
        <w:ind w:firstLine="643" w:firstLineChars="200"/>
        <w:rPr>
          <w:rFonts w:ascii="仿宋_GB2312" w:eastAsia="仿宋_GB2312"/>
          <w:b/>
          <w:sz w:val="32"/>
          <w:szCs w:val="32"/>
        </w:rPr>
      </w:pPr>
      <w:r>
        <w:rPr>
          <w:rFonts w:hint="eastAsia" w:ascii="仿宋_GB2312" w:eastAsia="仿宋_GB2312"/>
          <w:b/>
          <w:sz w:val="32"/>
          <w:szCs w:val="32"/>
        </w:rPr>
        <w:t>二是分布式商业化开发利用经验不足。</w:t>
      </w:r>
      <w:r>
        <w:rPr>
          <w:rFonts w:hint="eastAsia" w:ascii="仿宋_GB2312" w:eastAsia="仿宋_GB2312"/>
          <w:sz w:val="32"/>
          <w:szCs w:val="32"/>
        </w:rPr>
        <w:t>受制于我国农业生产方式，农林生物质原料难以实现大规模收集，一些年利用量超过10万吨的项目，原料收集困难。畜禽粪便收集缺乏专用设备，能源化无害化处理难度较大。急需探索就近收集、就近转化、就近消费的生物质能分布式商业化开发利用模式。</w:t>
      </w:r>
    </w:p>
    <w:p w14:paraId="69C5AD96">
      <w:pPr>
        <w:ind w:firstLine="643" w:firstLineChars="200"/>
        <w:rPr>
          <w:rFonts w:ascii="仿宋_GB2312" w:eastAsia="仿宋_GB2312"/>
          <w:sz w:val="32"/>
          <w:szCs w:val="32"/>
        </w:rPr>
      </w:pPr>
      <w:r>
        <w:rPr>
          <w:rFonts w:hint="eastAsia" w:ascii="仿宋_GB2312" w:eastAsia="仿宋_GB2312"/>
          <w:b/>
          <w:sz w:val="32"/>
          <w:szCs w:val="32"/>
        </w:rPr>
        <w:t>三是专业化市场化程度低，技术水平有待提高。</w:t>
      </w:r>
      <w:r>
        <w:rPr>
          <w:rFonts w:hint="eastAsia" w:ascii="仿宋_GB2312" w:eastAsia="仿宋_GB2312"/>
          <w:sz w:val="32"/>
          <w:szCs w:val="32"/>
        </w:rPr>
        <w:t>生物天然气和生物质成型燃料仍处于发展初期，受限于农村市场，专业化程度不高，大型企业主体较少，市场体系不完善，尚未成功开拓高价值商业化市场。纤维素乙醇关键技术及工程化尚未突破，急待开发高效混合原料发酵装置、大型低排放生物质锅炉等现代化专用设备，提高生物天然气和成型燃料工程化水平。</w:t>
      </w:r>
    </w:p>
    <w:p w14:paraId="2E49E4CC">
      <w:pPr>
        <w:rPr>
          <w:rFonts w:ascii="仿宋_GB2312" w:eastAsia="仿宋_GB2312"/>
          <w:sz w:val="32"/>
        </w:rPr>
      </w:pPr>
      <w:r>
        <w:rPr>
          <w:rFonts w:hint="eastAsia" w:ascii="仿宋_GB2312" w:eastAsia="仿宋_GB2312"/>
          <w:sz w:val="32"/>
          <w:szCs w:val="32"/>
        </w:rPr>
        <w:t xml:space="preserve">    </w:t>
      </w:r>
      <w:r>
        <w:rPr>
          <w:rFonts w:hint="eastAsia" w:ascii="仿宋_GB2312" w:eastAsia="仿宋_GB2312"/>
          <w:b/>
          <w:sz w:val="32"/>
          <w:szCs w:val="32"/>
        </w:rPr>
        <w:t>四是标准体系不健全。</w:t>
      </w:r>
      <w:r>
        <w:rPr>
          <w:rFonts w:hint="eastAsia" w:ascii="仿宋_GB2312" w:eastAsia="仿宋_GB2312"/>
          <w:sz w:val="32"/>
          <w:szCs w:val="32"/>
        </w:rPr>
        <w:t>尚未建立生物天然气、生物成型燃料工业化标准体系，缺乏设备、产品、工程技术标准和规范。尚未出台生物质锅炉和生物天然气工程专用的污染物排放标准。生物质能检测认证体系建设滞后，制约了产业专业化规范化发展。缺乏对产品和质量的技术监督。</w:t>
      </w:r>
    </w:p>
    <w:p w14:paraId="089A3730">
      <w:pPr>
        <w:ind w:firstLine="643" w:firstLineChars="200"/>
        <w:rPr>
          <w:rFonts w:ascii="仿宋_GB2312" w:eastAsia="仿宋_GB2312"/>
          <w:sz w:val="32"/>
          <w:szCs w:val="32"/>
        </w:rPr>
      </w:pPr>
      <w:r>
        <w:rPr>
          <w:rFonts w:hint="eastAsia" w:ascii="仿宋_GB2312" w:eastAsia="仿宋_GB2312"/>
          <w:b/>
          <w:sz w:val="32"/>
          <w:szCs w:val="32"/>
        </w:rPr>
        <w:t>五是政策不完善。</w:t>
      </w:r>
      <w:r>
        <w:rPr>
          <w:rFonts w:hint="eastAsia" w:ascii="仿宋_GB2312" w:eastAsia="仿宋_GB2312"/>
          <w:sz w:val="32"/>
          <w:szCs w:val="32"/>
        </w:rPr>
        <w:t>生物质能开发利用涉及原料收集、加工转化、能源产品消费、伴生品处理等诸多环节，政策分散，难以形成合力。尚未建立生物质能产品优先利用机制，缺乏对生物天然气和成型燃料的终端补贴政策支持。</w:t>
      </w:r>
    </w:p>
    <w:p w14:paraId="50942FA9">
      <w:pPr>
        <w:pStyle w:val="2"/>
        <w:spacing w:line="360" w:lineRule="auto"/>
        <w:rPr>
          <w:rFonts w:ascii="黑体" w:hAnsi="黑体" w:eastAsia="黑体"/>
          <w:sz w:val="36"/>
          <w:szCs w:val="36"/>
        </w:rPr>
        <w:sectPr>
          <w:pgSz w:w="11906" w:h="16838"/>
          <w:pgMar w:top="1440" w:right="1800" w:bottom="1440" w:left="1800" w:header="851" w:footer="992" w:gutter="0"/>
          <w:cols w:space="425" w:num="1"/>
          <w:docGrid w:type="lines" w:linePitch="312" w:charSpace="0"/>
        </w:sectPr>
      </w:pPr>
    </w:p>
    <w:p w14:paraId="12FFCC4F">
      <w:pPr>
        <w:pStyle w:val="2"/>
        <w:spacing w:line="360" w:lineRule="auto"/>
        <w:rPr>
          <w:rFonts w:ascii="黑体" w:hAnsi="黑体" w:eastAsia="黑体"/>
          <w:sz w:val="36"/>
          <w:szCs w:val="36"/>
        </w:rPr>
      </w:pPr>
      <w:bookmarkStart w:id="10" w:name="_Toc457378370"/>
      <w:r>
        <w:rPr>
          <w:rFonts w:hint="eastAsia" w:ascii="黑体" w:hAnsi="黑体" w:eastAsia="黑体"/>
          <w:sz w:val="36"/>
          <w:szCs w:val="36"/>
        </w:rPr>
        <w:t>二、指导思想和发展目标</w:t>
      </w:r>
      <w:bookmarkEnd w:id="10"/>
    </w:p>
    <w:p w14:paraId="7666EC92">
      <w:pPr>
        <w:pStyle w:val="3"/>
        <w:spacing w:line="360" w:lineRule="auto"/>
        <w:rPr>
          <w:rFonts w:ascii="黑体" w:hAnsi="黑体" w:eastAsia="黑体"/>
          <w:b w:val="0"/>
          <w:sz w:val="32"/>
        </w:rPr>
      </w:pPr>
      <w:bookmarkStart w:id="11" w:name="_Toc457378371"/>
      <w:r>
        <w:rPr>
          <w:rFonts w:hint="eastAsia" w:ascii="黑体" w:hAnsi="黑体" w:eastAsia="黑体"/>
          <w:sz w:val="32"/>
        </w:rPr>
        <w:t>（一）指导思想</w:t>
      </w:r>
      <w:bookmarkEnd w:id="11"/>
    </w:p>
    <w:p w14:paraId="03B836C3">
      <w:pPr>
        <w:spacing w:line="360" w:lineRule="auto"/>
        <w:ind w:firstLine="640" w:firstLineChars="200"/>
        <w:rPr>
          <w:rFonts w:ascii="仿宋_GB2312" w:eastAsia="仿宋_GB2312"/>
          <w:sz w:val="32"/>
          <w:szCs w:val="32"/>
        </w:rPr>
      </w:pPr>
      <w:r>
        <w:rPr>
          <w:rFonts w:hint="eastAsia" w:eastAsia="仿宋_GB2312"/>
          <w:sz w:val="32"/>
          <w:szCs w:val="32"/>
        </w:rPr>
        <w:t>全面贯彻党的十八大、十八届三中、四中、五中全会和中央经济工作会议精神，坚持创新、协调、绿色、开放、共享的发展理念，紧紧围绕能源生产和消费革命，主动适应经济发展新常态，按照全面建成小康社会的战略目标，把生物质能作为优化能源结构、改善生态环境、发展循环经济的重要内容，立足于分布式开发利用，扩大市场规模，加快技术进步，完善产业体系，加强政策支持，推进生物质能规模化、专业化、产业化和多元化发展，促进新型城镇化和生态文明建设。</w:t>
      </w:r>
    </w:p>
    <w:p w14:paraId="5F721746">
      <w:pPr>
        <w:pStyle w:val="3"/>
        <w:spacing w:line="360" w:lineRule="auto"/>
        <w:rPr>
          <w:rFonts w:ascii="黑体" w:hAnsi="黑体" w:eastAsia="黑体"/>
          <w:b w:val="0"/>
          <w:sz w:val="32"/>
        </w:rPr>
      </w:pPr>
      <w:bookmarkStart w:id="12" w:name="_Toc457378372"/>
      <w:r>
        <w:rPr>
          <w:rFonts w:hint="eastAsia" w:ascii="黑体" w:hAnsi="黑体" w:eastAsia="黑体"/>
          <w:sz w:val="32"/>
        </w:rPr>
        <w:t>（二）基本原则</w:t>
      </w:r>
      <w:bookmarkEnd w:id="12"/>
    </w:p>
    <w:p w14:paraId="20DC29F5">
      <w:pPr>
        <w:spacing w:line="360" w:lineRule="auto"/>
        <w:ind w:firstLine="643" w:firstLineChars="200"/>
        <w:rPr>
          <w:rFonts w:eastAsia="仿宋_GB2312"/>
          <w:sz w:val="32"/>
          <w:szCs w:val="32"/>
        </w:rPr>
      </w:pPr>
      <w:r>
        <w:rPr>
          <w:rFonts w:hint="eastAsia" w:eastAsia="仿宋_GB2312"/>
          <w:b/>
          <w:sz w:val="32"/>
          <w:szCs w:val="32"/>
        </w:rPr>
        <w:t>坚持分布式开发。</w:t>
      </w:r>
      <w:r>
        <w:rPr>
          <w:rFonts w:hint="eastAsia" w:eastAsia="仿宋_GB2312"/>
          <w:sz w:val="32"/>
          <w:szCs w:val="32"/>
        </w:rPr>
        <w:t>根据资源条件做好规划，确定项目布局，因地制宜确定适应资源条件的项目规模，形成就近收集资源、就近加工转化、就近消费的分布式开发利用模式，提高生物质能利用效率。</w:t>
      </w:r>
    </w:p>
    <w:p w14:paraId="5AEA2511">
      <w:pPr>
        <w:spacing w:line="360" w:lineRule="auto"/>
        <w:ind w:firstLine="643" w:firstLineChars="200"/>
        <w:rPr>
          <w:rFonts w:eastAsia="仿宋_GB2312"/>
          <w:b/>
          <w:sz w:val="32"/>
          <w:szCs w:val="32"/>
        </w:rPr>
      </w:pPr>
      <w:r>
        <w:rPr>
          <w:rFonts w:hint="eastAsia" w:eastAsia="仿宋_GB2312"/>
          <w:b/>
          <w:sz w:val="32"/>
          <w:szCs w:val="32"/>
        </w:rPr>
        <w:t>坚持用户侧替代。</w:t>
      </w:r>
      <w:r>
        <w:rPr>
          <w:rFonts w:hint="eastAsia" w:eastAsia="仿宋_GB2312"/>
          <w:sz w:val="32"/>
          <w:szCs w:val="32"/>
        </w:rPr>
        <w:t>发挥生物质布局灵活、产品多样的优势，大力推进生物质冷热电多联产、生物质锅炉、生物质与其他清洁能源互补系统等在当地用户侧直接替代燃煤，提升用户侧能源系统效率，有效应对大气污染。</w:t>
      </w:r>
    </w:p>
    <w:p w14:paraId="58C6DFC3">
      <w:pPr>
        <w:spacing w:line="360" w:lineRule="auto"/>
        <w:ind w:firstLine="643" w:firstLineChars="200"/>
        <w:rPr>
          <w:rFonts w:ascii="仿宋_GB2312" w:hAnsi="仿宋" w:eastAsia="仿宋_GB2312"/>
          <w:b/>
          <w:sz w:val="32"/>
          <w:szCs w:val="32"/>
        </w:rPr>
      </w:pPr>
      <w:r>
        <w:rPr>
          <w:rFonts w:hint="eastAsia" w:eastAsia="仿宋_GB2312"/>
          <w:b/>
          <w:sz w:val="32"/>
          <w:szCs w:val="32"/>
        </w:rPr>
        <w:t>坚持融入环保</w:t>
      </w:r>
      <w:r>
        <w:rPr>
          <w:rFonts w:hint="eastAsia" w:ascii="仿宋_GB2312" w:hAnsi="仿宋" w:eastAsia="仿宋_GB2312"/>
          <w:b/>
          <w:sz w:val="32"/>
          <w:szCs w:val="32"/>
        </w:rPr>
        <w:t>。</w:t>
      </w:r>
      <w:r>
        <w:rPr>
          <w:rFonts w:hint="eastAsia" w:eastAsia="仿宋_GB2312"/>
          <w:sz w:val="32"/>
          <w:szCs w:val="32"/>
        </w:rPr>
        <w:t>将生物质能开发利用融入环保体系，通过有机废弃物的大规模能源化利用，加强主动型源头污染防治，直接</w:t>
      </w:r>
      <w:r>
        <w:rPr>
          <w:rFonts w:hint="eastAsia" w:ascii="仿宋_GB2312" w:hAnsi="仿宋" w:eastAsia="仿宋_GB2312"/>
          <w:sz w:val="32"/>
          <w:szCs w:val="32"/>
        </w:rPr>
        <w:t>减少秸秆露天焚烧、畜禽粪便污染排放，减轻对水、土、气的污染，建立生物质能开发利用与环保相互促进机制。</w:t>
      </w:r>
    </w:p>
    <w:p w14:paraId="7B983C29">
      <w:pPr>
        <w:spacing w:line="360" w:lineRule="auto"/>
        <w:ind w:firstLine="643" w:firstLineChars="200"/>
        <w:rPr>
          <w:rFonts w:eastAsia="仿宋_GB2312"/>
          <w:sz w:val="32"/>
          <w:szCs w:val="32"/>
        </w:rPr>
      </w:pPr>
      <w:r>
        <w:rPr>
          <w:rFonts w:hint="eastAsia" w:eastAsia="仿宋_GB2312"/>
          <w:b/>
          <w:sz w:val="32"/>
          <w:szCs w:val="32"/>
        </w:rPr>
        <w:t>坚持梯级利用。</w:t>
      </w:r>
      <w:r>
        <w:rPr>
          <w:rFonts w:hint="eastAsia" w:eastAsia="仿宋_GB2312"/>
          <w:sz w:val="32"/>
          <w:szCs w:val="32"/>
        </w:rPr>
        <w:t>立足于多种资源和多样化用能需求，开发形成电、气、热、燃料等多元化产品，加快非电领域应用，推进生物质能循环梯级利用，构建生物质能多联产循环经济。</w:t>
      </w:r>
    </w:p>
    <w:p w14:paraId="151507C7">
      <w:pPr>
        <w:pStyle w:val="3"/>
        <w:rPr>
          <w:rFonts w:eastAsia="仿宋_GB2312"/>
          <w:sz w:val="32"/>
        </w:rPr>
      </w:pPr>
      <w:bookmarkStart w:id="13" w:name="_Toc457378373"/>
      <w:r>
        <w:rPr>
          <w:rFonts w:hint="eastAsia" w:ascii="黑体" w:hAnsi="黑体" w:eastAsia="黑体"/>
          <w:sz w:val="32"/>
        </w:rPr>
        <w:t>（三）发展目标</w:t>
      </w:r>
      <w:bookmarkEnd w:id="13"/>
    </w:p>
    <w:p w14:paraId="50EDDA24">
      <w:pPr>
        <w:spacing w:line="580" w:lineRule="exact"/>
        <w:ind w:firstLine="629"/>
        <w:rPr>
          <w:rFonts w:ascii="仿宋_GB2312" w:eastAsia="仿宋_GB2312"/>
          <w:sz w:val="32"/>
          <w:szCs w:val="32"/>
        </w:rPr>
      </w:pPr>
      <w:r>
        <w:rPr>
          <w:rFonts w:hint="eastAsia" w:eastAsia="仿宋_GB2312"/>
          <w:sz w:val="32"/>
          <w:szCs w:val="32"/>
        </w:rPr>
        <w:t>到</w:t>
      </w:r>
      <w:r>
        <w:rPr>
          <w:rFonts w:hint="eastAsia" w:ascii="仿宋_GB2312" w:eastAsia="仿宋_GB2312"/>
          <w:sz w:val="32"/>
          <w:szCs w:val="32"/>
        </w:rPr>
        <w:t>2020年，生物质能基本实现商业化和规模化利用。生物质能年利用量约5800万吨标准煤。生物质发电总装机容量达到1500万千瓦，年发电量900亿千瓦时，其中农林生物质直燃发电700万千瓦，城镇生活垃圾焚烧发电750万千瓦，沼气发电50万千瓦；生物天然气年利用量80亿立方米；生物液体燃料年利用量600万吨；生物质成型燃料年利用量3000万吨。</w:t>
      </w:r>
    </w:p>
    <w:tbl>
      <w:tblPr>
        <w:tblStyle w:val="18"/>
        <w:tblpPr w:leftFromText="180" w:rightFromText="180" w:vertAnchor="text" w:horzAnchor="margin" w:tblpY="202"/>
        <w:tblW w:w="5000" w:type="pct"/>
        <w:tblInd w:w="0" w:type="dxa"/>
        <w:tblLayout w:type="autofit"/>
        <w:tblCellMar>
          <w:top w:w="0" w:type="dxa"/>
          <w:left w:w="0" w:type="dxa"/>
          <w:bottom w:w="0" w:type="dxa"/>
          <w:right w:w="0" w:type="dxa"/>
        </w:tblCellMar>
      </w:tblPr>
      <w:tblGrid>
        <w:gridCol w:w="2744"/>
        <w:gridCol w:w="677"/>
        <w:gridCol w:w="988"/>
        <w:gridCol w:w="673"/>
        <w:gridCol w:w="1305"/>
        <w:gridCol w:w="1947"/>
      </w:tblGrid>
      <w:tr w14:paraId="47F395B1">
        <w:tblPrEx>
          <w:tblCellMar>
            <w:top w:w="0" w:type="dxa"/>
            <w:left w:w="0" w:type="dxa"/>
            <w:bottom w:w="0" w:type="dxa"/>
            <w:right w:w="0" w:type="dxa"/>
          </w:tblCellMar>
        </w:tblPrEx>
        <w:trPr>
          <w:trHeight w:val="567" w:hRule="atLeast"/>
        </w:trPr>
        <w:tc>
          <w:tcPr>
            <w:tcW w:w="5000" w:type="pct"/>
            <w:gridSpan w:val="6"/>
            <w:tcBorders>
              <w:top w:val="single" w:color="auto" w:sz="4" w:space="0"/>
              <w:left w:val="single" w:color="auto" w:sz="4" w:space="0"/>
              <w:bottom w:val="single" w:color="000000" w:sz="4" w:space="0"/>
              <w:right w:val="single" w:color="auto" w:sz="4" w:space="0"/>
            </w:tcBorders>
            <w:tcMar>
              <w:top w:w="14" w:type="dxa"/>
              <w:left w:w="14" w:type="dxa"/>
              <w:bottom w:w="0" w:type="dxa"/>
              <w:right w:w="14" w:type="dxa"/>
            </w:tcMar>
            <w:vAlign w:val="center"/>
          </w:tcPr>
          <w:p w14:paraId="0EA92EE9">
            <w:pPr>
              <w:spacing w:line="360" w:lineRule="auto"/>
              <w:jc w:val="center"/>
              <w:rPr>
                <w:b/>
                <w:sz w:val="24"/>
                <w:szCs w:val="24"/>
              </w:rPr>
            </w:pPr>
            <w:r>
              <w:rPr>
                <w:rFonts w:hint="eastAsia"/>
                <w:b/>
                <w:sz w:val="24"/>
                <w:szCs w:val="24"/>
              </w:rPr>
              <w:t>专栏2</w:t>
            </w:r>
            <w:r>
              <w:rPr>
                <w:b/>
                <w:sz w:val="24"/>
                <w:szCs w:val="24"/>
              </w:rPr>
              <w:t xml:space="preserve">  </w:t>
            </w:r>
            <w:r>
              <w:rPr>
                <w:rFonts w:hint="eastAsia"/>
                <w:b/>
                <w:sz w:val="24"/>
                <w:szCs w:val="24"/>
              </w:rPr>
              <w:t>“十三五”生物质能发展目标</w:t>
            </w:r>
          </w:p>
        </w:tc>
      </w:tr>
      <w:tr w14:paraId="2DB62E90">
        <w:tblPrEx>
          <w:tblCellMar>
            <w:top w:w="0" w:type="dxa"/>
            <w:left w:w="0" w:type="dxa"/>
            <w:bottom w:w="0" w:type="dxa"/>
            <w:right w:w="0" w:type="dxa"/>
          </w:tblCellMar>
        </w:tblPrEx>
        <w:trPr>
          <w:trHeight w:val="567" w:hRule="atLeast"/>
        </w:trPr>
        <w:tc>
          <w:tcPr>
            <w:tcW w:w="1646" w:type="pct"/>
            <w:vMerge w:val="restart"/>
            <w:tcBorders>
              <w:top w:val="single" w:color="auto" w:sz="4" w:space="0"/>
              <w:left w:val="single" w:color="auto" w:sz="4" w:space="0"/>
              <w:bottom w:val="single" w:color="000000" w:sz="4" w:space="0"/>
              <w:right w:val="single" w:color="auto" w:sz="4" w:space="0"/>
            </w:tcBorders>
            <w:tcMar>
              <w:top w:w="14" w:type="dxa"/>
              <w:left w:w="14" w:type="dxa"/>
              <w:bottom w:w="0" w:type="dxa"/>
              <w:right w:w="14" w:type="dxa"/>
            </w:tcMar>
            <w:vAlign w:val="center"/>
          </w:tcPr>
          <w:p w14:paraId="05CC8394">
            <w:pPr>
              <w:jc w:val="center"/>
              <w:rPr>
                <w:rFonts w:ascii="仿宋_GB2312" w:hAnsi="宋体" w:eastAsia="仿宋_GB2312"/>
                <w:b/>
                <w:bCs/>
                <w:color w:val="000000"/>
                <w:sz w:val="24"/>
                <w:szCs w:val="24"/>
              </w:rPr>
            </w:pPr>
            <w:r>
              <w:rPr>
                <w:rFonts w:hint="eastAsia" w:ascii="仿宋_GB2312" w:hAnsi="宋体" w:eastAsia="仿宋_GB2312"/>
                <w:b/>
                <w:bCs/>
                <w:color w:val="000000"/>
                <w:sz w:val="24"/>
                <w:szCs w:val="24"/>
              </w:rPr>
              <w:t>利用方式</w:t>
            </w:r>
          </w:p>
        </w:tc>
        <w:tc>
          <w:tcPr>
            <w:tcW w:w="999" w:type="pct"/>
            <w:gridSpan w:val="2"/>
            <w:tcBorders>
              <w:top w:val="single" w:color="auto" w:sz="4" w:space="0"/>
              <w:left w:val="nil"/>
              <w:bottom w:val="single" w:color="auto" w:sz="4" w:space="0"/>
              <w:right w:val="single" w:color="000000" w:sz="4" w:space="0"/>
            </w:tcBorders>
            <w:tcMar>
              <w:top w:w="14" w:type="dxa"/>
              <w:left w:w="14" w:type="dxa"/>
              <w:bottom w:w="0" w:type="dxa"/>
              <w:right w:w="14" w:type="dxa"/>
            </w:tcMar>
            <w:vAlign w:val="center"/>
          </w:tcPr>
          <w:p w14:paraId="591C4F9B">
            <w:pPr>
              <w:jc w:val="center"/>
              <w:rPr>
                <w:rFonts w:ascii="仿宋_GB2312" w:hAnsi="宋体" w:eastAsia="仿宋_GB2312"/>
                <w:b/>
                <w:bCs/>
                <w:color w:val="000000"/>
                <w:sz w:val="24"/>
                <w:szCs w:val="24"/>
              </w:rPr>
            </w:pPr>
            <w:r>
              <w:rPr>
                <w:rFonts w:hint="eastAsia" w:ascii="仿宋_GB2312" w:hAnsi="宋体" w:eastAsia="仿宋_GB2312"/>
                <w:b/>
                <w:bCs/>
                <w:color w:val="000000"/>
                <w:sz w:val="24"/>
                <w:szCs w:val="24"/>
              </w:rPr>
              <w:t>利用规模</w:t>
            </w:r>
          </w:p>
        </w:tc>
        <w:tc>
          <w:tcPr>
            <w:tcW w:w="1187" w:type="pct"/>
            <w:gridSpan w:val="2"/>
            <w:tcBorders>
              <w:top w:val="single" w:color="auto" w:sz="4" w:space="0"/>
              <w:left w:val="nil"/>
              <w:bottom w:val="single" w:color="auto" w:sz="4" w:space="0"/>
              <w:right w:val="single" w:color="000000" w:sz="4" w:space="0"/>
            </w:tcBorders>
            <w:tcMar>
              <w:top w:w="14" w:type="dxa"/>
              <w:left w:w="14" w:type="dxa"/>
              <w:bottom w:w="0" w:type="dxa"/>
              <w:right w:w="14" w:type="dxa"/>
            </w:tcMar>
            <w:vAlign w:val="center"/>
          </w:tcPr>
          <w:p w14:paraId="64B63362">
            <w:pPr>
              <w:jc w:val="center"/>
              <w:rPr>
                <w:rFonts w:ascii="仿宋_GB2312" w:hAnsi="宋体" w:eastAsia="仿宋_GB2312"/>
                <w:b/>
                <w:bCs/>
                <w:color w:val="000000"/>
                <w:sz w:val="24"/>
                <w:szCs w:val="24"/>
              </w:rPr>
            </w:pPr>
            <w:r>
              <w:rPr>
                <w:rFonts w:hint="eastAsia" w:ascii="仿宋_GB2312" w:hAnsi="宋体" w:eastAsia="仿宋_GB2312"/>
                <w:b/>
                <w:bCs/>
                <w:color w:val="000000"/>
                <w:sz w:val="24"/>
                <w:szCs w:val="24"/>
              </w:rPr>
              <w:t>年产量</w:t>
            </w:r>
          </w:p>
        </w:tc>
        <w:tc>
          <w:tcPr>
            <w:tcW w:w="1168" w:type="pct"/>
            <w:tcBorders>
              <w:top w:val="single" w:color="auto" w:sz="4" w:space="0"/>
              <w:left w:val="nil"/>
              <w:bottom w:val="nil"/>
              <w:right w:val="single" w:color="auto" w:sz="4" w:space="0"/>
            </w:tcBorders>
            <w:tcMar>
              <w:top w:w="14" w:type="dxa"/>
              <w:left w:w="14" w:type="dxa"/>
              <w:bottom w:w="0" w:type="dxa"/>
              <w:right w:w="14" w:type="dxa"/>
            </w:tcMar>
            <w:vAlign w:val="center"/>
          </w:tcPr>
          <w:p w14:paraId="238ABB24">
            <w:pPr>
              <w:jc w:val="center"/>
              <w:rPr>
                <w:rFonts w:ascii="仿宋_GB2312" w:hAnsi="宋体" w:eastAsia="仿宋_GB2312"/>
                <w:b/>
                <w:bCs/>
                <w:color w:val="000000"/>
                <w:sz w:val="24"/>
                <w:szCs w:val="24"/>
              </w:rPr>
            </w:pPr>
            <w:r>
              <w:rPr>
                <w:rFonts w:hint="eastAsia" w:ascii="仿宋_GB2312" w:hAnsi="宋体" w:eastAsia="仿宋_GB2312"/>
                <w:b/>
                <w:bCs/>
                <w:color w:val="000000"/>
                <w:sz w:val="24"/>
                <w:szCs w:val="24"/>
              </w:rPr>
              <w:t>替代化石能源</w:t>
            </w:r>
          </w:p>
        </w:tc>
      </w:tr>
      <w:tr w14:paraId="7268E4C8">
        <w:tblPrEx>
          <w:tblCellMar>
            <w:top w:w="0" w:type="dxa"/>
            <w:left w:w="0" w:type="dxa"/>
            <w:bottom w:w="0" w:type="dxa"/>
            <w:right w:w="0" w:type="dxa"/>
          </w:tblCellMar>
        </w:tblPrEx>
        <w:trPr>
          <w:trHeight w:val="567" w:hRule="atLeast"/>
        </w:trPr>
        <w:tc>
          <w:tcPr>
            <w:tcW w:w="1646" w:type="pct"/>
            <w:vMerge w:val="continue"/>
            <w:tcBorders>
              <w:top w:val="single" w:color="auto" w:sz="4" w:space="0"/>
              <w:left w:val="single" w:color="auto" w:sz="4" w:space="0"/>
              <w:bottom w:val="single" w:color="auto" w:sz="4" w:space="0"/>
              <w:right w:val="single" w:color="auto" w:sz="4" w:space="0"/>
            </w:tcBorders>
            <w:vAlign w:val="center"/>
          </w:tcPr>
          <w:p w14:paraId="57B5A253">
            <w:pPr>
              <w:keepNext/>
              <w:keepLines/>
              <w:jc w:val="center"/>
              <w:outlineLvl w:val="0"/>
              <w:rPr>
                <w:rFonts w:ascii="仿宋_GB2312" w:hAnsi="宋体" w:eastAsia="仿宋_GB2312"/>
                <w:b/>
                <w:bCs/>
                <w:color w:val="000000"/>
                <w:sz w:val="24"/>
                <w:szCs w:val="24"/>
              </w:rPr>
            </w:pPr>
          </w:p>
        </w:tc>
        <w:tc>
          <w:tcPr>
            <w:tcW w:w="406" w:type="pct"/>
            <w:tcBorders>
              <w:top w:val="nil"/>
              <w:left w:val="nil"/>
              <w:bottom w:val="single" w:color="auto" w:sz="4" w:space="0"/>
              <w:right w:val="single" w:color="auto" w:sz="4" w:space="0"/>
            </w:tcBorders>
            <w:tcMar>
              <w:top w:w="14" w:type="dxa"/>
              <w:left w:w="14" w:type="dxa"/>
              <w:bottom w:w="0" w:type="dxa"/>
              <w:right w:w="14" w:type="dxa"/>
            </w:tcMar>
            <w:vAlign w:val="center"/>
          </w:tcPr>
          <w:p w14:paraId="03DCB2FC">
            <w:pPr>
              <w:jc w:val="center"/>
              <w:rPr>
                <w:rFonts w:ascii="仿宋_GB2312" w:hAnsi="宋体" w:eastAsia="仿宋_GB2312"/>
                <w:b/>
                <w:bCs/>
                <w:color w:val="000000"/>
                <w:sz w:val="24"/>
                <w:szCs w:val="24"/>
              </w:rPr>
            </w:pPr>
            <w:r>
              <w:rPr>
                <w:rFonts w:hint="eastAsia" w:ascii="仿宋_GB2312" w:hAnsi="宋体" w:eastAsia="仿宋_GB2312"/>
                <w:b/>
                <w:bCs/>
                <w:color w:val="000000"/>
                <w:sz w:val="24"/>
                <w:szCs w:val="24"/>
              </w:rPr>
              <w:t>数量</w:t>
            </w:r>
          </w:p>
        </w:tc>
        <w:tc>
          <w:tcPr>
            <w:tcW w:w="593" w:type="pct"/>
            <w:tcBorders>
              <w:top w:val="nil"/>
              <w:left w:val="nil"/>
              <w:bottom w:val="single" w:color="auto" w:sz="4" w:space="0"/>
              <w:right w:val="single" w:color="auto" w:sz="4" w:space="0"/>
            </w:tcBorders>
            <w:tcMar>
              <w:top w:w="14" w:type="dxa"/>
              <w:left w:w="14" w:type="dxa"/>
              <w:bottom w:w="0" w:type="dxa"/>
              <w:right w:w="14" w:type="dxa"/>
            </w:tcMar>
            <w:vAlign w:val="center"/>
          </w:tcPr>
          <w:p w14:paraId="16743F20">
            <w:pPr>
              <w:jc w:val="center"/>
              <w:rPr>
                <w:rFonts w:ascii="仿宋_GB2312" w:hAnsi="宋体" w:eastAsia="仿宋_GB2312"/>
                <w:b/>
                <w:bCs/>
                <w:color w:val="000000"/>
                <w:sz w:val="24"/>
                <w:szCs w:val="24"/>
              </w:rPr>
            </w:pPr>
            <w:r>
              <w:rPr>
                <w:rFonts w:hint="eastAsia" w:ascii="仿宋_GB2312" w:hAnsi="宋体" w:eastAsia="仿宋_GB2312"/>
                <w:b/>
                <w:bCs/>
                <w:color w:val="000000"/>
                <w:sz w:val="24"/>
                <w:szCs w:val="24"/>
              </w:rPr>
              <w:t>单位</w:t>
            </w:r>
          </w:p>
        </w:tc>
        <w:tc>
          <w:tcPr>
            <w:tcW w:w="404" w:type="pct"/>
            <w:tcBorders>
              <w:top w:val="nil"/>
              <w:left w:val="nil"/>
              <w:bottom w:val="single" w:color="auto" w:sz="4" w:space="0"/>
              <w:right w:val="single" w:color="auto" w:sz="4" w:space="0"/>
            </w:tcBorders>
            <w:tcMar>
              <w:top w:w="14" w:type="dxa"/>
              <w:left w:w="14" w:type="dxa"/>
              <w:bottom w:w="0" w:type="dxa"/>
              <w:right w:w="14" w:type="dxa"/>
            </w:tcMar>
            <w:vAlign w:val="center"/>
          </w:tcPr>
          <w:p w14:paraId="2D8AB410">
            <w:pPr>
              <w:jc w:val="center"/>
              <w:rPr>
                <w:rFonts w:ascii="仿宋_GB2312" w:hAnsi="宋体" w:eastAsia="仿宋_GB2312"/>
                <w:b/>
                <w:bCs/>
                <w:color w:val="000000"/>
                <w:sz w:val="24"/>
                <w:szCs w:val="24"/>
              </w:rPr>
            </w:pPr>
            <w:r>
              <w:rPr>
                <w:rFonts w:hint="eastAsia" w:ascii="仿宋_GB2312" w:hAnsi="宋体" w:eastAsia="仿宋_GB2312"/>
                <w:b/>
                <w:bCs/>
                <w:color w:val="000000"/>
                <w:sz w:val="24"/>
                <w:szCs w:val="24"/>
              </w:rPr>
              <w:t>数量</w:t>
            </w:r>
          </w:p>
        </w:tc>
        <w:tc>
          <w:tcPr>
            <w:tcW w:w="783" w:type="pct"/>
            <w:tcBorders>
              <w:top w:val="nil"/>
              <w:left w:val="nil"/>
              <w:bottom w:val="single" w:color="auto" w:sz="4" w:space="0"/>
              <w:right w:val="single" w:color="auto" w:sz="4" w:space="0"/>
            </w:tcBorders>
            <w:tcMar>
              <w:top w:w="14" w:type="dxa"/>
              <w:left w:w="14" w:type="dxa"/>
              <w:bottom w:w="0" w:type="dxa"/>
              <w:right w:w="14" w:type="dxa"/>
            </w:tcMar>
            <w:vAlign w:val="center"/>
          </w:tcPr>
          <w:p w14:paraId="6087E48B">
            <w:pPr>
              <w:jc w:val="center"/>
              <w:rPr>
                <w:rFonts w:ascii="仿宋_GB2312" w:hAnsi="宋体" w:eastAsia="仿宋_GB2312"/>
                <w:b/>
                <w:bCs/>
                <w:color w:val="000000"/>
                <w:sz w:val="24"/>
                <w:szCs w:val="24"/>
              </w:rPr>
            </w:pPr>
            <w:r>
              <w:rPr>
                <w:rFonts w:hint="eastAsia" w:ascii="仿宋_GB2312" w:hAnsi="宋体" w:eastAsia="仿宋_GB2312"/>
                <w:b/>
                <w:bCs/>
                <w:color w:val="000000"/>
                <w:sz w:val="24"/>
                <w:szCs w:val="24"/>
              </w:rPr>
              <w:t>单位</w:t>
            </w:r>
          </w:p>
        </w:tc>
        <w:tc>
          <w:tcPr>
            <w:tcW w:w="1168" w:type="pct"/>
            <w:tcBorders>
              <w:top w:val="nil"/>
              <w:left w:val="nil"/>
              <w:bottom w:val="single" w:color="auto" w:sz="4" w:space="0"/>
              <w:right w:val="single" w:color="auto" w:sz="4" w:space="0"/>
            </w:tcBorders>
            <w:tcMar>
              <w:top w:w="14" w:type="dxa"/>
              <w:left w:w="14" w:type="dxa"/>
              <w:bottom w:w="0" w:type="dxa"/>
              <w:right w:w="14" w:type="dxa"/>
            </w:tcMar>
            <w:vAlign w:val="center"/>
          </w:tcPr>
          <w:p w14:paraId="14508232">
            <w:pPr>
              <w:jc w:val="center"/>
              <w:rPr>
                <w:rFonts w:ascii="仿宋_GB2312" w:hAnsi="宋体" w:eastAsia="仿宋_GB2312"/>
                <w:b/>
                <w:bCs/>
                <w:color w:val="000000"/>
                <w:sz w:val="24"/>
                <w:szCs w:val="24"/>
              </w:rPr>
            </w:pPr>
            <w:r>
              <w:rPr>
                <w:rFonts w:hint="eastAsia" w:ascii="仿宋_GB2312" w:hAnsi="宋体" w:eastAsia="仿宋_GB2312"/>
                <w:b/>
                <w:bCs/>
                <w:color w:val="000000"/>
                <w:sz w:val="24"/>
                <w:szCs w:val="24"/>
              </w:rPr>
              <w:t>万吨</w:t>
            </w:r>
            <w:r>
              <w:rPr>
                <w:rFonts w:ascii="仿宋_GB2312" w:hAnsi="宋体" w:eastAsia="仿宋_GB2312"/>
                <w:b/>
                <w:bCs/>
                <w:color w:val="000000"/>
                <w:sz w:val="24"/>
                <w:szCs w:val="24"/>
              </w:rPr>
              <w:t>/年</w:t>
            </w:r>
          </w:p>
        </w:tc>
      </w:tr>
      <w:tr w14:paraId="377491EC">
        <w:tblPrEx>
          <w:tblCellMar>
            <w:top w:w="0" w:type="dxa"/>
            <w:left w:w="0" w:type="dxa"/>
            <w:bottom w:w="0" w:type="dxa"/>
            <w:right w:w="0" w:type="dxa"/>
          </w:tblCellMar>
        </w:tblPrEx>
        <w:trPr>
          <w:trHeight w:val="567" w:hRule="atLeast"/>
        </w:trPr>
        <w:tc>
          <w:tcPr>
            <w:tcW w:w="1646" w:type="pct"/>
            <w:tcBorders>
              <w:top w:val="single" w:color="auto" w:sz="4" w:space="0"/>
              <w:left w:val="single" w:color="auto" w:sz="4" w:space="0"/>
              <w:bottom w:val="single" w:color="auto" w:sz="4" w:space="0"/>
              <w:right w:val="single" w:color="auto" w:sz="4" w:space="0"/>
            </w:tcBorders>
            <w:tcMar>
              <w:top w:w="14" w:type="dxa"/>
              <w:left w:w="14" w:type="dxa"/>
              <w:bottom w:w="0" w:type="dxa"/>
              <w:right w:w="14" w:type="dxa"/>
            </w:tcMar>
            <w:vAlign w:val="center"/>
          </w:tcPr>
          <w:p w14:paraId="062E84E2">
            <w:pPr>
              <w:jc w:val="left"/>
              <w:rPr>
                <w:rFonts w:ascii="仿宋_GB2312" w:hAnsi="宋体" w:eastAsia="仿宋_GB2312"/>
                <w:bCs/>
                <w:color w:val="000000"/>
                <w:sz w:val="24"/>
                <w:szCs w:val="24"/>
              </w:rPr>
            </w:pPr>
            <w:r>
              <w:rPr>
                <w:rFonts w:hint="eastAsia" w:ascii="仿宋_GB2312" w:hAnsi="宋体" w:eastAsia="仿宋_GB2312"/>
                <w:bCs/>
                <w:color w:val="000000"/>
                <w:sz w:val="24"/>
                <w:szCs w:val="24"/>
              </w:rPr>
              <w:t>1. 生物质发电</w:t>
            </w:r>
          </w:p>
        </w:tc>
        <w:tc>
          <w:tcPr>
            <w:tcW w:w="406"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5D073508">
            <w:pPr>
              <w:jc w:val="center"/>
              <w:rPr>
                <w:rFonts w:ascii="仿宋_GB2312" w:hAnsi="宋体" w:eastAsia="仿宋_GB2312"/>
                <w:color w:val="000000"/>
                <w:sz w:val="24"/>
                <w:szCs w:val="24"/>
              </w:rPr>
            </w:pPr>
            <w:r>
              <w:rPr>
                <w:rFonts w:ascii="仿宋_GB2312" w:hAnsi="宋体" w:eastAsia="仿宋_GB2312"/>
                <w:color w:val="000000"/>
                <w:sz w:val="24"/>
                <w:szCs w:val="24"/>
              </w:rPr>
              <w:t>1</w:t>
            </w:r>
            <w:r>
              <w:rPr>
                <w:rFonts w:hint="eastAsia" w:ascii="仿宋_GB2312" w:hAnsi="宋体" w:eastAsia="仿宋_GB2312"/>
                <w:color w:val="000000"/>
                <w:sz w:val="24"/>
                <w:szCs w:val="24"/>
              </w:rPr>
              <w:t>5</w:t>
            </w:r>
            <w:r>
              <w:rPr>
                <w:rFonts w:ascii="仿宋_GB2312" w:hAnsi="宋体" w:eastAsia="仿宋_GB2312"/>
                <w:color w:val="000000"/>
                <w:sz w:val="24"/>
                <w:szCs w:val="24"/>
              </w:rPr>
              <w:t>00</w:t>
            </w:r>
          </w:p>
        </w:tc>
        <w:tc>
          <w:tcPr>
            <w:tcW w:w="593" w:type="pct"/>
            <w:tcBorders>
              <w:top w:val="single" w:color="auto" w:sz="4" w:space="0"/>
              <w:left w:val="nil"/>
              <w:right w:val="single" w:color="auto" w:sz="4" w:space="0"/>
            </w:tcBorders>
            <w:tcMar>
              <w:top w:w="14" w:type="dxa"/>
              <w:left w:w="14" w:type="dxa"/>
              <w:bottom w:w="0" w:type="dxa"/>
              <w:right w:w="14" w:type="dxa"/>
            </w:tcMar>
            <w:vAlign w:val="center"/>
          </w:tcPr>
          <w:p w14:paraId="3783C7E6">
            <w:pPr>
              <w:jc w:val="center"/>
              <w:rPr>
                <w:rFonts w:ascii="仿宋_GB2312" w:hAnsi="宋体" w:eastAsia="仿宋_GB2312"/>
                <w:color w:val="000000"/>
                <w:sz w:val="24"/>
                <w:szCs w:val="24"/>
              </w:rPr>
            </w:pPr>
            <w:r>
              <w:rPr>
                <w:rFonts w:hint="eastAsia" w:ascii="仿宋_GB2312" w:hAnsi="宋体" w:eastAsia="仿宋_GB2312"/>
                <w:color w:val="000000"/>
                <w:sz w:val="24"/>
                <w:szCs w:val="24"/>
              </w:rPr>
              <w:t>万千瓦</w:t>
            </w:r>
          </w:p>
        </w:tc>
        <w:tc>
          <w:tcPr>
            <w:tcW w:w="404"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2CA2B6D6">
            <w:pPr>
              <w:jc w:val="center"/>
              <w:rPr>
                <w:rFonts w:ascii="仿宋_GB2312" w:hAnsi="宋体" w:eastAsia="仿宋_GB2312"/>
                <w:color w:val="000000"/>
                <w:sz w:val="24"/>
                <w:szCs w:val="24"/>
              </w:rPr>
            </w:pPr>
            <w:r>
              <w:rPr>
                <w:rFonts w:hint="eastAsia" w:ascii="仿宋_GB2312" w:hAnsi="宋体" w:eastAsia="仿宋_GB2312"/>
                <w:color w:val="000000"/>
                <w:sz w:val="24"/>
                <w:szCs w:val="24"/>
              </w:rPr>
              <w:t>900</w:t>
            </w:r>
          </w:p>
        </w:tc>
        <w:tc>
          <w:tcPr>
            <w:tcW w:w="783" w:type="pct"/>
            <w:tcBorders>
              <w:top w:val="single" w:color="auto" w:sz="4" w:space="0"/>
              <w:left w:val="nil"/>
              <w:right w:val="single" w:color="auto" w:sz="4" w:space="0"/>
            </w:tcBorders>
            <w:tcMar>
              <w:top w:w="14" w:type="dxa"/>
              <w:left w:w="14" w:type="dxa"/>
              <w:bottom w:w="0" w:type="dxa"/>
              <w:right w:w="14" w:type="dxa"/>
            </w:tcMar>
            <w:vAlign w:val="center"/>
          </w:tcPr>
          <w:p w14:paraId="0D341DFE">
            <w:pPr>
              <w:jc w:val="center"/>
              <w:rPr>
                <w:rFonts w:ascii="仿宋_GB2312" w:hAnsi="宋体" w:eastAsia="仿宋_GB2312"/>
                <w:color w:val="000000"/>
                <w:sz w:val="24"/>
                <w:szCs w:val="24"/>
              </w:rPr>
            </w:pPr>
            <w:r>
              <w:rPr>
                <w:rFonts w:hint="eastAsia" w:ascii="仿宋_GB2312" w:hAnsi="宋体" w:eastAsia="仿宋_GB2312"/>
                <w:color w:val="000000"/>
                <w:sz w:val="24"/>
                <w:szCs w:val="24"/>
              </w:rPr>
              <w:t>亿千瓦时</w:t>
            </w:r>
          </w:p>
        </w:tc>
        <w:tc>
          <w:tcPr>
            <w:tcW w:w="1168"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79682E4E">
            <w:pPr>
              <w:jc w:val="center"/>
              <w:rPr>
                <w:rFonts w:ascii="仿宋_GB2312" w:hAnsi="宋体" w:eastAsia="仿宋_GB2312" w:cs="宋体"/>
                <w:sz w:val="24"/>
                <w:szCs w:val="24"/>
              </w:rPr>
            </w:pPr>
            <w:r>
              <w:rPr>
                <w:rFonts w:hint="eastAsia" w:ascii="仿宋_GB2312" w:hAnsi="宋体" w:eastAsia="仿宋_GB2312" w:cs="宋体"/>
                <w:sz w:val="24"/>
                <w:szCs w:val="24"/>
              </w:rPr>
              <w:t>2660</w:t>
            </w:r>
          </w:p>
        </w:tc>
      </w:tr>
      <w:tr w14:paraId="71F85865">
        <w:tblPrEx>
          <w:tblCellMar>
            <w:top w:w="0" w:type="dxa"/>
            <w:left w:w="0" w:type="dxa"/>
            <w:bottom w:w="0" w:type="dxa"/>
            <w:right w:w="0" w:type="dxa"/>
          </w:tblCellMar>
        </w:tblPrEx>
        <w:trPr>
          <w:trHeight w:val="567" w:hRule="atLeast"/>
        </w:trPr>
        <w:tc>
          <w:tcPr>
            <w:tcW w:w="1646" w:type="pct"/>
            <w:tcBorders>
              <w:top w:val="single" w:color="auto" w:sz="4" w:space="0"/>
              <w:left w:val="single" w:color="auto" w:sz="4" w:space="0"/>
              <w:bottom w:val="single" w:color="auto" w:sz="4" w:space="0"/>
              <w:right w:val="single" w:color="auto" w:sz="4" w:space="0"/>
            </w:tcBorders>
            <w:tcMar>
              <w:top w:w="14" w:type="dxa"/>
              <w:left w:w="14" w:type="dxa"/>
              <w:bottom w:w="0" w:type="dxa"/>
              <w:right w:w="14" w:type="dxa"/>
            </w:tcMar>
            <w:vAlign w:val="center"/>
          </w:tcPr>
          <w:p w14:paraId="4AE86D27">
            <w:pPr>
              <w:jc w:val="left"/>
              <w:rPr>
                <w:rFonts w:ascii="仿宋_GB2312" w:hAnsi="宋体" w:eastAsia="仿宋_GB2312"/>
                <w:bCs/>
                <w:color w:val="000000"/>
                <w:sz w:val="24"/>
                <w:szCs w:val="24"/>
              </w:rPr>
            </w:pPr>
            <w:r>
              <w:rPr>
                <w:rFonts w:hint="eastAsia" w:ascii="仿宋_GB2312" w:hAnsi="宋体" w:eastAsia="仿宋_GB2312"/>
                <w:bCs/>
                <w:color w:val="000000"/>
                <w:sz w:val="24"/>
                <w:szCs w:val="24"/>
              </w:rPr>
              <w:t>2. 生物天然气</w:t>
            </w:r>
          </w:p>
        </w:tc>
        <w:tc>
          <w:tcPr>
            <w:tcW w:w="406"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1530EB4B">
            <w:pPr>
              <w:jc w:val="center"/>
              <w:rPr>
                <w:rFonts w:ascii="仿宋_GB2312" w:hAnsi="宋体" w:eastAsia="仿宋_GB2312"/>
                <w:color w:val="000000"/>
                <w:sz w:val="24"/>
                <w:szCs w:val="24"/>
              </w:rPr>
            </w:pPr>
          </w:p>
        </w:tc>
        <w:tc>
          <w:tcPr>
            <w:tcW w:w="593"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6F0C46E8">
            <w:pPr>
              <w:jc w:val="center"/>
              <w:rPr>
                <w:rFonts w:ascii="仿宋_GB2312" w:hAnsi="宋体" w:eastAsia="仿宋_GB2312"/>
                <w:color w:val="000000"/>
                <w:sz w:val="24"/>
                <w:szCs w:val="24"/>
              </w:rPr>
            </w:pPr>
          </w:p>
        </w:tc>
        <w:tc>
          <w:tcPr>
            <w:tcW w:w="404"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3FB1B658">
            <w:pPr>
              <w:jc w:val="center"/>
              <w:rPr>
                <w:rFonts w:ascii="仿宋_GB2312" w:hAnsi="宋体" w:eastAsia="仿宋_GB2312"/>
                <w:color w:val="000000"/>
                <w:sz w:val="24"/>
                <w:szCs w:val="24"/>
              </w:rPr>
            </w:pPr>
            <w:r>
              <w:rPr>
                <w:rFonts w:hint="eastAsia" w:ascii="仿宋_GB2312" w:hAnsi="宋体" w:eastAsia="仿宋_GB2312"/>
                <w:color w:val="000000"/>
                <w:sz w:val="24"/>
                <w:szCs w:val="24"/>
              </w:rPr>
              <w:t>80</w:t>
            </w:r>
          </w:p>
        </w:tc>
        <w:tc>
          <w:tcPr>
            <w:tcW w:w="783"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08423C59">
            <w:pPr>
              <w:jc w:val="center"/>
              <w:rPr>
                <w:rFonts w:ascii="仿宋_GB2312" w:hAnsi="宋体" w:eastAsia="仿宋_GB2312"/>
                <w:color w:val="000000"/>
                <w:sz w:val="24"/>
                <w:szCs w:val="24"/>
              </w:rPr>
            </w:pPr>
            <w:r>
              <w:rPr>
                <w:rFonts w:ascii="仿宋_GB2312" w:hAnsi="宋体" w:eastAsia="仿宋_GB2312"/>
                <w:color w:val="000000"/>
                <w:sz w:val="24"/>
                <w:szCs w:val="24"/>
              </w:rPr>
              <w:t>亿立方米</w:t>
            </w:r>
          </w:p>
        </w:tc>
        <w:tc>
          <w:tcPr>
            <w:tcW w:w="1168"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66CD65AF">
            <w:pPr>
              <w:jc w:val="center"/>
              <w:rPr>
                <w:rFonts w:ascii="仿宋_GB2312" w:hAnsi="宋体" w:eastAsia="仿宋_GB2312"/>
                <w:bCs/>
                <w:sz w:val="24"/>
                <w:szCs w:val="24"/>
              </w:rPr>
            </w:pPr>
            <w:r>
              <w:rPr>
                <w:rFonts w:hint="eastAsia" w:ascii="仿宋_GB2312" w:hAnsi="宋体" w:eastAsia="仿宋_GB2312"/>
                <w:bCs/>
                <w:sz w:val="24"/>
                <w:szCs w:val="24"/>
              </w:rPr>
              <w:t>960</w:t>
            </w:r>
          </w:p>
        </w:tc>
      </w:tr>
      <w:tr w14:paraId="03F06A4E">
        <w:tblPrEx>
          <w:tblCellMar>
            <w:top w:w="0" w:type="dxa"/>
            <w:left w:w="0" w:type="dxa"/>
            <w:bottom w:w="0" w:type="dxa"/>
            <w:right w:w="0" w:type="dxa"/>
          </w:tblCellMar>
        </w:tblPrEx>
        <w:trPr>
          <w:trHeight w:val="567" w:hRule="atLeast"/>
        </w:trPr>
        <w:tc>
          <w:tcPr>
            <w:tcW w:w="1646" w:type="pct"/>
            <w:tcBorders>
              <w:top w:val="single" w:color="auto" w:sz="4" w:space="0"/>
              <w:left w:val="single" w:color="auto" w:sz="4" w:space="0"/>
              <w:bottom w:val="single" w:color="auto" w:sz="4" w:space="0"/>
              <w:right w:val="single" w:color="auto" w:sz="4" w:space="0"/>
            </w:tcBorders>
            <w:tcMar>
              <w:top w:w="14" w:type="dxa"/>
              <w:left w:w="14" w:type="dxa"/>
              <w:bottom w:w="0" w:type="dxa"/>
              <w:right w:w="14" w:type="dxa"/>
            </w:tcMar>
            <w:vAlign w:val="center"/>
          </w:tcPr>
          <w:p w14:paraId="043BF0B6">
            <w:pPr>
              <w:jc w:val="left"/>
              <w:rPr>
                <w:rFonts w:ascii="仿宋_GB2312" w:hAnsi="宋体" w:eastAsia="仿宋_GB2312"/>
                <w:bCs/>
                <w:color w:val="000000"/>
                <w:sz w:val="24"/>
                <w:szCs w:val="24"/>
              </w:rPr>
            </w:pPr>
            <w:r>
              <w:rPr>
                <w:rFonts w:hint="eastAsia" w:ascii="仿宋_GB2312" w:hAnsi="宋体" w:eastAsia="仿宋_GB2312"/>
                <w:bCs/>
                <w:color w:val="000000"/>
                <w:sz w:val="24"/>
                <w:szCs w:val="24"/>
              </w:rPr>
              <w:t>3. 生物质成型燃料</w:t>
            </w:r>
          </w:p>
        </w:tc>
        <w:tc>
          <w:tcPr>
            <w:tcW w:w="406"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57F2BBA7">
            <w:pPr>
              <w:jc w:val="center"/>
              <w:rPr>
                <w:rFonts w:ascii="仿宋_GB2312" w:hAnsi="宋体" w:eastAsia="仿宋_GB2312"/>
                <w:color w:val="000000"/>
                <w:sz w:val="24"/>
                <w:szCs w:val="24"/>
              </w:rPr>
            </w:pPr>
            <w:r>
              <w:rPr>
                <w:rFonts w:hint="eastAsia" w:ascii="仿宋_GB2312" w:hAnsi="宋体" w:eastAsia="仿宋_GB2312"/>
                <w:color w:val="000000"/>
                <w:sz w:val="24"/>
                <w:szCs w:val="24"/>
              </w:rPr>
              <w:t>3000</w:t>
            </w:r>
          </w:p>
        </w:tc>
        <w:tc>
          <w:tcPr>
            <w:tcW w:w="593"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3E88D446">
            <w:pPr>
              <w:jc w:val="center"/>
              <w:rPr>
                <w:rFonts w:ascii="仿宋_GB2312" w:hAnsi="宋体" w:eastAsia="仿宋_GB2312"/>
                <w:color w:val="000000"/>
                <w:sz w:val="24"/>
                <w:szCs w:val="24"/>
              </w:rPr>
            </w:pPr>
            <w:r>
              <w:rPr>
                <w:rFonts w:hint="eastAsia" w:ascii="仿宋_GB2312" w:hAnsi="宋体" w:eastAsia="仿宋_GB2312"/>
                <w:color w:val="000000"/>
                <w:sz w:val="24"/>
                <w:szCs w:val="24"/>
              </w:rPr>
              <w:t>万吨</w:t>
            </w:r>
          </w:p>
        </w:tc>
        <w:tc>
          <w:tcPr>
            <w:tcW w:w="404"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61B62F1D">
            <w:pPr>
              <w:keepNext/>
              <w:keepLines/>
              <w:jc w:val="center"/>
              <w:outlineLvl w:val="0"/>
              <w:rPr>
                <w:rFonts w:ascii="仿宋_GB2312" w:hAnsi="宋体" w:eastAsia="仿宋_GB2312"/>
                <w:color w:val="000000"/>
                <w:sz w:val="24"/>
                <w:szCs w:val="24"/>
              </w:rPr>
            </w:pPr>
          </w:p>
        </w:tc>
        <w:tc>
          <w:tcPr>
            <w:tcW w:w="783"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0FA79D1B">
            <w:pPr>
              <w:keepNext/>
              <w:keepLines/>
              <w:jc w:val="center"/>
              <w:outlineLvl w:val="0"/>
              <w:rPr>
                <w:rFonts w:ascii="仿宋_GB2312" w:hAnsi="宋体" w:eastAsia="仿宋_GB2312"/>
                <w:color w:val="000000"/>
                <w:sz w:val="24"/>
                <w:szCs w:val="24"/>
              </w:rPr>
            </w:pPr>
          </w:p>
        </w:tc>
        <w:tc>
          <w:tcPr>
            <w:tcW w:w="1168"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79EC2687">
            <w:pPr>
              <w:jc w:val="center"/>
              <w:rPr>
                <w:rFonts w:ascii="仿宋_GB2312" w:hAnsi="宋体" w:eastAsia="仿宋_GB2312"/>
                <w:bCs/>
                <w:sz w:val="24"/>
                <w:szCs w:val="24"/>
              </w:rPr>
            </w:pPr>
            <w:r>
              <w:rPr>
                <w:rFonts w:hint="eastAsia" w:ascii="仿宋_GB2312" w:hAnsi="宋体" w:eastAsia="仿宋_GB2312"/>
                <w:sz w:val="24"/>
                <w:szCs w:val="24"/>
              </w:rPr>
              <w:t>1500</w:t>
            </w:r>
          </w:p>
        </w:tc>
      </w:tr>
      <w:tr w14:paraId="154DF6BE">
        <w:tblPrEx>
          <w:tblCellMar>
            <w:top w:w="0" w:type="dxa"/>
            <w:left w:w="0" w:type="dxa"/>
            <w:bottom w:w="0" w:type="dxa"/>
            <w:right w:w="0" w:type="dxa"/>
          </w:tblCellMar>
        </w:tblPrEx>
        <w:trPr>
          <w:trHeight w:val="567" w:hRule="atLeast"/>
        </w:trPr>
        <w:tc>
          <w:tcPr>
            <w:tcW w:w="1646" w:type="pct"/>
            <w:tcBorders>
              <w:top w:val="single" w:color="auto" w:sz="4" w:space="0"/>
              <w:left w:val="single" w:color="auto" w:sz="4" w:space="0"/>
              <w:bottom w:val="single" w:color="auto" w:sz="4" w:space="0"/>
              <w:right w:val="single" w:color="auto" w:sz="4" w:space="0"/>
            </w:tcBorders>
            <w:tcMar>
              <w:top w:w="14" w:type="dxa"/>
              <w:left w:w="14" w:type="dxa"/>
              <w:bottom w:w="0" w:type="dxa"/>
              <w:right w:w="14" w:type="dxa"/>
            </w:tcMar>
            <w:vAlign w:val="center"/>
          </w:tcPr>
          <w:p w14:paraId="56649FE6">
            <w:pPr>
              <w:jc w:val="left"/>
              <w:rPr>
                <w:rFonts w:ascii="仿宋_GB2312" w:hAnsi="宋体" w:eastAsia="仿宋_GB2312"/>
                <w:bCs/>
                <w:color w:val="000000"/>
                <w:sz w:val="24"/>
                <w:szCs w:val="24"/>
              </w:rPr>
            </w:pPr>
            <w:r>
              <w:rPr>
                <w:rFonts w:hint="eastAsia" w:ascii="仿宋_GB2312" w:hAnsi="宋体" w:eastAsia="仿宋_GB2312"/>
                <w:bCs/>
                <w:color w:val="000000"/>
                <w:sz w:val="24"/>
                <w:szCs w:val="24"/>
              </w:rPr>
              <w:t>4. 生物液体燃料</w:t>
            </w:r>
          </w:p>
        </w:tc>
        <w:tc>
          <w:tcPr>
            <w:tcW w:w="406"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6D3D6BB7">
            <w:pPr>
              <w:jc w:val="center"/>
              <w:rPr>
                <w:rFonts w:ascii="仿宋_GB2312" w:hAnsi="宋体" w:eastAsia="仿宋_GB2312"/>
                <w:color w:val="000000"/>
                <w:sz w:val="24"/>
                <w:szCs w:val="24"/>
              </w:rPr>
            </w:pPr>
            <w:r>
              <w:rPr>
                <w:rFonts w:hint="eastAsia" w:ascii="仿宋_GB2312" w:hAnsi="宋体" w:eastAsia="仿宋_GB2312"/>
                <w:color w:val="000000"/>
                <w:sz w:val="24"/>
                <w:szCs w:val="24"/>
              </w:rPr>
              <w:t>600</w:t>
            </w:r>
          </w:p>
        </w:tc>
        <w:tc>
          <w:tcPr>
            <w:tcW w:w="593"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4EC303B7">
            <w:pPr>
              <w:jc w:val="center"/>
              <w:rPr>
                <w:rFonts w:ascii="仿宋_GB2312" w:hAnsi="宋体" w:eastAsia="仿宋_GB2312"/>
                <w:color w:val="000000"/>
                <w:sz w:val="24"/>
                <w:szCs w:val="24"/>
              </w:rPr>
            </w:pPr>
            <w:r>
              <w:rPr>
                <w:rFonts w:hint="eastAsia" w:ascii="仿宋_GB2312" w:hAnsi="宋体" w:eastAsia="仿宋_GB2312"/>
                <w:color w:val="000000"/>
                <w:sz w:val="24"/>
                <w:szCs w:val="24"/>
              </w:rPr>
              <w:t>万吨</w:t>
            </w:r>
          </w:p>
        </w:tc>
        <w:tc>
          <w:tcPr>
            <w:tcW w:w="404"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457CFE9E">
            <w:pPr>
              <w:jc w:val="center"/>
              <w:rPr>
                <w:rFonts w:ascii="仿宋_GB2312" w:hAnsi="宋体" w:eastAsia="仿宋_GB2312"/>
                <w:color w:val="000000"/>
                <w:sz w:val="24"/>
                <w:szCs w:val="24"/>
              </w:rPr>
            </w:pPr>
          </w:p>
        </w:tc>
        <w:tc>
          <w:tcPr>
            <w:tcW w:w="783"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5FB31B1D">
            <w:pPr>
              <w:jc w:val="center"/>
              <w:rPr>
                <w:rFonts w:ascii="仿宋_GB2312" w:hAnsi="宋体" w:eastAsia="仿宋_GB2312"/>
                <w:color w:val="000000"/>
                <w:sz w:val="24"/>
                <w:szCs w:val="24"/>
              </w:rPr>
            </w:pPr>
          </w:p>
        </w:tc>
        <w:tc>
          <w:tcPr>
            <w:tcW w:w="1168"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6C9AB57E">
            <w:pPr>
              <w:jc w:val="center"/>
              <w:rPr>
                <w:rFonts w:ascii="仿宋_GB2312" w:hAnsi="宋体" w:eastAsia="仿宋_GB2312"/>
                <w:bCs/>
                <w:sz w:val="24"/>
                <w:szCs w:val="24"/>
              </w:rPr>
            </w:pPr>
            <w:r>
              <w:rPr>
                <w:rFonts w:ascii="仿宋_GB2312" w:hAnsi="宋体" w:eastAsia="仿宋_GB2312"/>
                <w:bCs/>
                <w:sz w:val="24"/>
                <w:szCs w:val="24"/>
              </w:rPr>
              <w:t>6</w:t>
            </w:r>
            <w:r>
              <w:rPr>
                <w:rFonts w:hint="eastAsia" w:ascii="仿宋_GB2312" w:hAnsi="宋体" w:eastAsia="仿宋_GB2312"/>
                <w:bCs/>
                <w:sz w:val="24"/>
                <w:szCs w:val="24"/>
              </w:rPr>
              <w:t>80</w:t>
            </w:r>
          </w:p>
        </w:tc>
      </w:tr>
      <w:tr w14:paraId="55E32420">
        <w:tblPrEx>
          <w:tblCellMar>
            <w:top w:w="0" w:type="dxa"/>
            <w:left w:w="0" w:type="dxa"/>
            <w:bottom w:w="0" w:type="dxa"/>
            <w:right w:w="0" w:type="dxa"/>
          </w:tblCellMar>
        </w:tblPrEx>
        <w:trPr>
          <w:trHeight w:val="567" w:hRule="atLeast"/>
        </w:trPr>
        <w:tc>
          <w:tcPr>
            <w:tcW w:w="1646" w:type="pct"/>
            <w:tcBorders>
              <w:top w:val="single" w:color="auto" w:sz="4" w:space="0"/>
              <w:left w:val="single" w:color="auto" w:sz="4" w:space="0"/>
              <w:bottom w:val="single" w:color="auto" w:sz="4" w:space="0"/>
              <w:right w:val="single" w:color="auto" w:sz="4" w:space="0"/>
            </w:tcBorders>
            <w:tcMar>
              <w:top w:w="14" w:type="dxa"/>
              <w:left w:w="14" w:type="dxa"/>
              <w:bottom w:w="0" w:type="dxa"/>
              <w:right w:w="14" w:type="dxa"/>
            </w:tcMar>
            <w:vAlign w:val="center"/>
          </w:tcPr>
          <w:p w14:paraId="18E26996">
            <w:pPr>
              <w:ind w:right="120" w:firstLine="480" w:firstLineChars="200"/>
              <w:jc w:val="left"/>
              <w:rPr>
                <w:rFonts w:ascii="仿宋_GB2312" w:hAnsi="宋体" w:eastAsia="仿宋_GB2312"/>
                <w:color w:val="000000"/>
                <w:sz w:val="24"/>
                <w:szCs w:val="24"/>
              </w:rPr>
            </w:pPr>
            <w:r>
              <w:rPr>
                <w:rFonts w:hint="eastAsia" w:ascii="仿宋_GB2312" w:hAnsi="宋体" w:eastAsia="仿宋_GB2312"/>
                <w:color w:val="000000"/>
                <w:sz w:val="24"/>
                <w:szCs w:val="24"/>
              </w:rPr>
              <w:t>生物燃料乙醇</w:t>
            </w:r>
          </w:p>
        </w:tc>
        <w:tc>
          <w:tcPr>
            <w:tcW w:w="406"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149EB52B">
            <w:pPr>
              <w:jc w:val="center"/>
              <w:rPr>
                <w:rFonts w:ascii="仿宋_GB2312" w:hAnsi="宋体" w:eastAsia="仿宋_GB2312"/>
                <w:color w:val="000000"/>
                <w:sz w:val="24"/>
                <w:szCs w:val="24"/>
              </w:rPr>
            </w:pPr>
            <w:r>
              <w:rPr>
                <w:rFonts w:hint="eastAsia" w:ascii="仿宋_GB2312" w:hAnsi="宋体" w:eastAsia="仿宋_GB2312"/>
                <w:color w:val="000000"/>
                <w:sz w:val="24"/>
                <w:szCs w:val="24"/>
              </w:rPr>
              <w:t>400</w:t>
            </w:r>
          </w:p>
        </w:tc>
        <w:tc>
          <w:tcPr>
            <w:tcW w:w="593"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34734DAA">
            <w:pPr>
              <w:jc w:val="center"/>
              <w:rPr>
                <w:rFonts w:ascii="仿宋_GB2312" w:hAnsi="宋体" w:eastAsia="仿宋_GB2312"/>
                <w:color w:val="000000"/>
                <w:sz w:val="24"/>
                <w:szCs w:val="24"/>
              </w:rPr>
            </w:pPr>
            <w:r>
              <w:rPr>
                <w:rFonts w:hint="eastAsia" w:ascii="仿宋_GB2312" w:hAnsi="宋体" w:eastAsia="仿宋_GB2312"/>
                <w:color w:val="000000"/>
                <w:sz w:val="24"/>
                <w:szCs w:val="24"/>
              </w:rPr>
              <w:t>万吨</w:t>
            </w:r>
          </w:p>
        </w:tc>
        <w:tc>
          <w:tcPr>
            <w:tcW w:w="404"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05220CC5">
            <w:pPr>
              <w:keepNext/>
              <w:keepLines/>
              <w:jc w:val="center"/>
              <w:outlineLvl w:val="0"/>
              <w:rPr>
                <w:rFonts w:ascii="仿宋_GB2312" w:hAnsi="宋体" w:eastAsia="仿宋_GB2312"/>
                <w:color w:val="000000"/>
                <w:sz w:val="24"/>
                <w:szCs w:val="24"/>
              </w:rPr>
            </w:pPr>
          </w:p>
        </w:tc>
        <w:tc>
          <w:tcPr>
            <w:tcW w:w="783"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435D30E0">
            <w:pPr>
              <w:keepNext/>
              <w:keepLines/>
              <w:jc w:val="center"/>
              <w:outlineLvl w:val="0"/>
              <w:rPr>
                <w:rFonts w:ascii="仿宋_GB2312" w:hAnsi="宋体" w:eastAsia="仿宋_GB2312"/>
                <w:color w:val="000000"/>
                <w:sz w:val="24"/>
                <w:szCs w:val="24"/>
              </w:rPr>
            </w:pPr>
          </w:p>
        </w:tc>
        <w:tc>
          <w:tcPr>
            <w:tcW w:w="1168"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24FE2CC3">
            <w:pPr>
              <w:jc w:val="center"/>
              <w:rPr>
                <w:rFonts w:ascii="仿宋_GB2312" w:hAnsi="宋体" w:eastAsia="仿宋_GB2312"/>
                <w:sz w:val="24"/>
                <w:szCs w:val="24"/>
              </w:rPr>
            </w:pPr>
            <w:r>
              <w:rPr>
                <w:rFonts w:hint="eastAsia" w:ascii="仿宋_GB2312" w:hAnsi="宋体" w:eastAsia="仿宋_GB2312"/>
                <w:sz w:val="24"/>
                <w:szCs w:val="24"/>
              </w:rPr>
              <w:t>380</w:t>
            </w:r>
          </w:p>
        </w:tc>
      </w:tr>
      <w:tr w14:paraId="0C3B7ED8">
        <w:tblPrEx>
          <w:tblCellMar>
            <w:top w:w="0" w:type="dxa"/>
            <w:left w:w="0" w:type="dxa"/>
            <w:bottom w:w="0" w:type="dxa"/>
            <w:right w:w="0" w:type="dxa"/>
          </w:tblCellMar>
        </w:tblPrEx>
        <w:trPr>
          <w:trHeight w:val="567" w:hRule="atLeast"/>
        </w:trPr>
        <w:tc>
          <w:tcPr>
            <w:tcW w:w="1646" w:type="pct"/>
            <w:tcBorders>
              <w:top w:val="single" w:color="auto" w:sz="4" w:space="0"/>
              <w:left w:val="single" w:color="auto" w:sz="4" w:space="0"/>
              <w:bottom w:val="single" w:color="auto" w:sz="4" w:space="0"/>
              <w:right w:val="single" w:color="auto" w:sz="4" w:space="0"/>
            </w:tcBorders>
            <w:tcMar>
              <w:top w:w="14" w:type="dxa"/>
              <w:left w:w="14" w:type="dxa"/>
              <w:bottom w:w="0" w:type="dxa"/>
              <w:right w:w="14" w:type="dxa"/>
            </w:tcMar>
            <w:vAlign w:val="center"/>
          </w:tcPr>
          <w:p w14:paraId="65A32993">
            <w:pPr>
              <w:ind w:firstLine="480" w:firstLineChars="200"/>
              <w:jc w:val="left"/>
              <w:rPr>
                <w:rFonts w:ascii="仿宋_GB2312" w:hAnsi="宋体" w:eastAsia="仿宋_GB2312"/>
                <w:color w:val="000000"/>
                <w:sz w:val="24"/>
                <w:szCs w:val="24"/>
              </w:rPr>
            </w:pPr>
            <w:r>
              <w:rPr>
                <w:rFonts w:hint="eastAsia" w:ascii="仿宋_GB2312" w:hAnsi="宋体" w:eastAsia="仿宋_GB2312"/>
                <w:color w:val="000000"/>
                <w:sz w:val="24"/>
                <w:szCs w:val="24"/>
              </w:rPr>
              <w:t>生物柴油</w:t>
            </w:r>
          </w:p>
        </w:tc>
        <w:tc>
          <w:tcPr>
            <w:tcW w:w="406"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2B7A67A1">
            <w:pPr>
              <w:jc w:val="center"/>
              <w:rPr>
                <w:rFonts w:ascii="仿宋_GB2312" w:hAnsi="宋体" w:eastAsia="仿宋_GB2312"/>
                <w:color w:val="000000"/>
                <w:sz w:val="24"/>
                <w:szCs w:val="24"/>
              </w:rPr>
            </w:pPr>
            <w:r>
              <w:rPr>
                <w:rFonts w:hint="eastAsia" w:ascii="仿宋_GB2312" w:hAnsi="宋体" w:eastAsia="仿宋_GB2312"/>
                <w:color w:val="000000"/>
                <w:sz w:val="24"/>
                <w:szCs w:val="24"/>
              </w:rPr>
              <w:t>200</w:t>
            </w:r>
          </w:p>
        </w:tc>
        <w:tc>
          <w:tcPr>
            <w:tcW w:w="593"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0AFB1829">
            <w:pPr>
              <w:jc w:val="center"/>
              <w:rPr>
                <w:rFonts w:ascii="仿宋_GB2312" w:hAnsi="宋体" w:eastAsia="仿宋_GB2312"/>
                <w:color w:val="000000"/>
                <w:sz w:val="24"/>
                <w:szCs w:val="24"/>
              </w:rPr>
            </w:pPr>
            <w:r>
              <w:rPr>
                <w:rFonts w:hint="eastAsia" w:ascii="仿宋_GB2312" w:hAnsi="宋体" w:eastAsia="仿宋_GB2312"/>
                <w:color w:val="000000"/>
                <w:sz w:val="24"/>
                <w:szCs w:val="24"/>
              </w:rPr>
              <w:t>万吨</w:t>
            </w:r>
          </w:p>
        </w:tc>
        <w:tc>
          <w:tcPr>
            <w:tcW w:w="404"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389F0BC2">
            <w:pPr>
              <w:keepNext/>
              <w:keepLines/>
              <w:jc w:val="center"/>
              <w:outlineLvl w:val="0"/>
              <w:rPr>
                <w:rFonts w:ascii="仿宋_GB2312" w:hAnsi="宋体" w:eastAsia="仿宋_GB2312"/>
                <w:color w:val="000000"/>
                <w:sz w:val="24"/>
                <w:szCs w:val="24"/>
              </w:rPr>
            </w:pPr>
          </w:p>
        </w:tc>
        <w:tc>
          <w:tcPr>
            <w:tcW w:w="783"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575A4587">
            <w:pPr>
              <w:keepNext/>
              <w:keepLines/>
              <w:jc w:val="center"/>
              <w:outlineLvl w:val="0"/>
              <w:rPr>
                <w:rFonts w:ascii="仿宋_GB2312" w:hAnsi="宋体" w:eastAsia="仿宋_GB2312"/>
                <w:color w:val="000000"/>
                <w:sz w:val="24"/>
                <w:szCs w:val="24"/>
              </w:rPr>
            </w:pPr>
          </w:p>
        </w:tc>
        <w:tc>
          <w:tcPr>
            <w:tcW w:w="1168" w:type="pct"/>
            <w:tcBorders>
              <w:top w:val="single" w:color="auto" w:sz="4" w:space="0"/>
              <w:left w:val="nil"/>
              <w:bottom w:val="single" w:color="auto" w:sz="4" w:space="0"/>
              <w:right w:val="single" w:color="auto" w:sz="4" w:space="0"/>
            </w:tcBorders>
            <w:tcMar>
              <w:top w:w="14" w:type="dxa"/>
              <w:left w:w="14" w:type="dxa"/>
              <w:bottom w:w="0" w:type="dxa"/>
              <w:right w:w="14" w:type="dxa"/>
            </w:tcMar>
            <w:vAlign w:val="center"/>
          </w:tcPr>
          <w:p w14:paraId="1AF322E8">
            <w:pPr>
              <w:jc w:val="center"/>
              <w:rPr>
                <w:rFonts w:ascii="仿宋_GB2312" w:hAnsi="宋体" w:eastAsia="仿宋_GB2312"/>
                <w:sz w:val="24"/>
                <w:szCs w:val="24"/>
              </w:rPr>
            </w:pPr>
            <w:r>
              <w:rPr>
                <w:rFonts w:hint="eastAsia" w:ascii="仿宋_GB2312" w:hAnsi="宋体" w:eastAsia="仿宋_GB2312"/>
                <w:sz w:val="24"/>
                <w:szCs w:val="24"/>
              </w:rPr>
              <w:t>30</w:t>
            </w:r>
            <w:r>
              <w:rPr>
                <w:rFonts w:ascii="仿宋_GB2312" w:hAnsi="宋体" w:eastAsia="仿宋_GB2312"/>
                <w:sz w:val="24"/>
                <w:szCs w:val="24"/>
              </w:rPr>
              <w:t>0</w:t>
            </w:r>
          </w:p>
        </w:tc>
      </w:tr>
      <w:tr w14:paraId="4A22E47D">
        <w:tblPrEx>
          <w:tblCellMar>
            <w:top w:w="0" w:type="dxa"/>
            <w:left w:w="0" w:type="dxa"/>
            <w:bottom w:w="0" w:type="dxa"/>
            <w:right w:w="0" w:type="dxa"/>
          </w:tblCellMar>
        </w:tblPrEx>
        <w:trPr>
          <w:trHeight w:val="567" w:hRule="atLeast"/>
        </w:trPr>
        <w:tc>
          <w:tcPr>
            <w:tcW w:w="1646" w:type="pct"/>
            <w:tcBorders>
              <w:top w:val="single" w:color="auto" w:sz="4" w:space="0"/>
              <w:left w:val="single" w:color="auto" w:sz="4" w:space="0"/>
              <w:bottom w:val="single" w:color="auto" w:sz="4" w:space="0"/>
              <w:right w:val="single" w:color="auto" w:sz="4" w:space="0"/>
            </w:tcBorders>
            <w:tcMar>
              <w:top w:w="14" w:type="dxa"/>
              <w:left w:w="14" w:type="dxa"/>
              <w:bottom w:w="0" w:type="dxa"/>
              <w:right w:w="14" w:type="dxa"/>
            </w:tcMar>
            <w:vAlign w:val="center"/>
          </w:tcPr>
          <w:p w14:paraId="3369AB76">
            <w:pPr>
              <w:jc w:val="center"/>
              <w:rPr>
                <w:rFonts w:ascii="仿宋_GB2312" w:hAnsi="宋体" w:eastAsia="仿宋_GB2312"/>
                <w:b/>
                <w:bCs/>
                <w:color w:val="000000"/>
                <w:sz w:val="24"/>
                <w:szCs w:val="24"/>
              </w:rPr>
            </w:pPr>
            <w:r>
              <w:rPr>
                <w:rFonts w:hint="eastAsia" w:ascii="仿宋_GB2312" w:hAnsi="宋体" w:eastAsia="仿宋_GB2312"/>
                <w:b/>
                <w:bCs/>
                <w:color w:val="000000"/>
                <w:sz w:val="24"/>
                <w:szCs w:val="24"/>
              </w:rPr>
              <w:t>总  计</w:t>
            </w:r>
          </w:p>
        </w:tc>
        <w:tc>
          <w:tcPr>
            <w:tcW w:w="406" w:type="pct"/>
            <w:tcBorders>
              <w:top w:val="single" w:color="auto" w:sz="4" w:space="0"/>
              <w:left w:val="single" w:color="auto" w:sz="4" w:space="0"/>
              <w:bottom w:val="single" w:color="auto" w:sz="4" w:space="0"/>
              <w:right w:val="single" w:color="auto" w:sz="4" w:space="0"/>
            </w:tcBorders>
            <w:noWrap/>
            <w:tcMar>
              <w:top w:w="14" w:type="dxa"/>
              <w:left w:w="14" w:type="dxa"/>
              <w:bottom w:w="0" w:type="dxa"/>
              <w:right w:w="14" w:type="dxa"/>
            </w:tcMar>
            <w:vAlign w:val="center"/>
          </w:tcPr>
          <w:p w14:paraId="6703A540">
            <w:pPr>
              <w:keepNext/>
              <w:keepLines/>
              <w:jc w:val="center"/>
              <w:outlineLvl w:val="0"/>
              <w:rPr>
                <w:rFonts w:ascii="仿宋_GB2312" w:hAnsi="宋体" w:eastAsia="仿宋_GB2312"/>
                <w:color w:val="000000"/>
                <w:sz w:val="24"/>
                <w:szCs w:val="24"/>
              </w:rPr>
            </w:pPr>
          </w:p>
        </w:tc>
        <w:tc>
          <w:tcPr>
            <w:tcW w:w="593" w:type="pct"/>
            <w:tcBorders>
              <w:top w:val="single" w:color="auto" w:sz="4" w:space="0"/>
              <w:left w:val="single" w:color="auto" w:sz="4" w:space="0"/>
              <w:bottom w:val="single" w:color="auto" w:sz="4" w:space="0"/>
              <w:right w:val="single" w:color="auto" w:sz="4" w:space="0"/>
            </w:tcBorders>
            <w:noWrap/>
            <w:tcMar>
              <w:top w:w="14" w:type="dxa"/>
              <w:left w:w="14" w:type="dxa"/>
              <w:bottom w:w="0" w:type="dxa"/>
              <w:right w:w="14" w:type="dxa"/>
            </w:tcMar>
            <w:vAlign w:val="center"/>
          </w:tcPr>
          <w:p w14:paraId="6B70BD78">
            <w:pPr>
              <w:keepNext/>
              <w:keepLines/>
              <w:jc w:val="center"/>
              <w:outlineLvl w:val="0"/>
              <w:rPr>
                <w:rFonts w:ascii="仿宋_GB2312" w:hAnsi="宋体" w:eastAsia="仿宋_GB2312"/>
                <w:color w:val="000000"/>
                <w:sz w:val="24"/>
                <w:szCs w:val="24"/>
              </w:rPr>
            </w:pPr>
          </w:p>
        </w:tc>
        <w:tc>
          <w:tcPr>
            <w:tcW w:w="404" w:type="pct"/>
            <w:tcBorders>
              <w:top w:val="single" w:color="auto" w:sz="4" w:space="0"/>
              <w:left w:val="single" w:color="auto" w:sz="4" w:space="0"/>
              <w:bottom w:val="single" w:color="auto" w:sz="4" w:space="0"/>
              <w:right w:val="single" w:color="auto" w:sz="4" w:space="0"/>
            </w:tcBorders>
            <w:noWrap/>
            <w:tcMar>
              <w:top w:w="14" w:type="dxa"/>
              <w:left w:w="14" w:type="dxa"/>
              <w:bottom w:w="0" w:type="dxa"/>
              <w:right w:w="14" w:type="dxa"/>
            </w:tcMar>
            <w:vAlign w:val="center"/>
          </w:tcPr>
          <w:p w14:paraId="759A8AB0">
            <w:pPr>
              <w:keepNext/>
              <w:keepLines/>
              <w:jc w:val="center"/>
              <w:outlineLvl w:val="0"/>
              <w:rPr>
                <w:rFonts w:ascii="仿宋_GB2312" w:hAnsi="宋体" w:eastAsia="仿宋_GB2312"/>
                <w:color w:val="000000"/>
                <w:sz w:val="24"/>
                <w:szCs w:val="24"/>
              </w:rPr>
            </w:pPr>
          </w:p>
        </w:tc>
        <w:tc>
          <w:tcPr>
            <w:tcW w:w="783" w:type="pct"/>
            <w:tcBorders>
              <w:top w:val="single" w:color="auto" w:sz="4" w:space="0"/>
              <w:left w:val="single" w:color="auto" w:sz="4" w:space="0"/>
              <w:bottom w:val="single" w:color="auto" w:sz="4" w:space="0"/>
              <w:right w:val="single" w:color="auto" w:sz="4" w:space="0"/>
            </w:tcBorders>
            <w:noWrap/>
            <w:tcMar>
              <w:top w:w="14" w:type="dxa"/>
              <w:left w:w="14" w:type="dxa"/>
              <w:bottom w:w="0" w:type="dxa"/>
              <w:right w:w="14" w:type="dxa"/>
            </w:tcMar>
            <w:vAlign w:val="center"/>
          </w:tcPr>
          <w:p w14:paraId="49C4E6FD">
            <w:pPr>
              <w:keepNext/>
              <w:keepLines/>
              <w:jc w:val="center"/>
              <w:outlineLvl w:val="0"/>
              <w:rPr>
                <w:rFonts w:ascii="仿宋_GB2312" w:hAnsi="宋体" w:eastAsia="仿宋_GB2312"/>
                <w:color w:val="000000"/>
                <w:sz w:val="24"/>
                <w:szCs w:val="24"/>
              </w:rPr>
            </w:pPr>
          </w:p>
        </w:tc>
        <w:tc>
          <w:tcPr>
            <w:tcW w:w="1168" w:type="pct"/>
            <w:tcBorders>
              <w:top w:val="single" w:color="auto" w:sz="4" w:space="0"/>
              <w:left w:val="single" w:color="auto" w:sz="4" w:space="0"/>
              <w:bottom w:val="single" w:color="auto" w:sz="4" w:space="0"/>
              <w:right w:val="single" w:color="auto" w:sz="4" w:space="0"/>
            </w:tcBorders>
            <w:noWrap/>
            <w:tcMar>
              <w:top w:w="14" w:type="dxa"/>
              <w:left w:w="14" w:type="dxa"/>
              <w:bottom w:w="0" w:type="dxa"/>
              <w:right w:w="14" w:type="dxa"/>
            </w:tcMar>
            <w:vAlign w:val="center"/>
          </w:tcPr>
          <w:p w14:paraId="1215B6DC">
            <w:pPr>
              <w:jc w:val="center"/>
              <w:rPr>
                <w:rFonts w:ascii="仿宋_GB2312" w:hAnsi="宋体" w:eastAsia="仿宋_GB2312"/>
                <w:b/>
                <w:bCs/>
                <w:sz w:val="24"/>
                <w:szCs w:val="24"/>
              </w:rPr>
            </w:pPr>
            <w:r>
              <w:rPr>
                <w:rFonts w:hint="eastAsia" w:ascii="仿宋_GB2312" w:hAnsi="宋体" w:eastAsia="仿宋_GB2312"/>
                <w:b/>
                <w:bCs/>
                <w:sz w:val="24"/>
                <w:szCs w:val="24"/>
              </w:rPr>
              <w:t>5800</w:t>
            </w:r>
          </w:p>
        </w:tc>
      </w:tr>
    </w:tbl>
    <w:p w14:paraId="53053400">
      <w:bookmarkStart w:id="14" w:name="_Toc306289182"/>
      <w:bookmarkStart w:id="15" w:name="_Toc306279962"/>
    </w:p>
    <w:p w14:paraId="118CBAA2">
      <w:pPr>
        <w:sectPr>
          <w:pgSz w:w="11906" w:h="16838"/>
          <w:pgMar w:top="1440" w:right="1800" w:bottom="1440" w:left="1800" w:header="851" w:footer="992" w:gutter="0"/>
          <w:cols w:space="425" w:num="1"/>
          <w:docGrid w:type="lines" w:linePitch="312" w:charSpace="0"/>
        </w:sectPr>
      </w:pPr>
    </w:p>
    <w:p w14:paraId="38496CD0">
      <w:pPr>
        <w:pStyle w:val="2"/>
        <w:spacing w:line="360" w:lineRule="auto"/>
        <w:rPr>
          <w:rFonts w:ascii="黑体" w:hAnsi="黑体" w:eastAsia="黑体"/>
          <w:sz w:val="36"/>
          <w:szCs w:val="36"/>
        </w:rPr>
      </w:pPr>
      <w:bookmarkStart w:id="16" w:name="_Toc457378374"/>
      <w:r>
        <w:rPr>
          <w:rFonts w:hint="eastAsia" w:ascii="黑体" w:hAnsi="黑体" w:eastAsia="黑体"/>
          <w:sz w:val="36"/>
          <w:szCs w:val="36"/>
        </w:rPr>
        <w:t>三、发展布局和</w:t>
      </w:r>
      <w:bookmarkEnd w:id="14"/>
      <w:bookmarkEnd w:id="15"/>
      <w:r>
        <w:rPr>
          <w:rFonts w:hint="eastAsia" w:ascii="黑体" w:hAnsi="黑体" w:eastAsia="黑体"/>
          <w:sz w:val="36"/>
          <w:szCs w:val="36"/>
        </w:rPr>
        <w:t>建设重点</w:t>
      </w:r>
      <w:bookmarkEnd w:id="16"/>
    </w:p>
    <w:p w14:paraId="2D28415D">
      <w:pPr>
        <w:pStyle w:val="3"/>
        <w:spacing w:line="360" w:lineRule="auto"/>
        <w:rPr>
          <w:rFonts w:ascii="黑体" w:hAnsi="黑体" w:eastAsia="黑体"/>
          <w:sz w:val="32"/>
        </w:rPr>
      </w:pPr>
      <w:bookmarkStart w:id="17" w:name="_Toc457378375"/>
      <w:r>
        <w:rPr>
          <w:rFonts w:hint="eastAsia" w:ascii="黑体" w:hAnsi="黑体" w:eastAsia="黑体"/>
          <w:sz w:val="32"/>
        </w:rPr>
        <w:t>（一）大力推动生物天然气规模化发展</w:t>
      </w:r>
      <w:bookmarkEnd w:id="17"/>
    </w:p>
    <w:p w14:paraId="01DA0D1B">
      <w:pPr>
        <w:spacing w:line="360" w:lineRule="auto"/>
        <w:ind w:firstLine="640" w:firstLineChars="200"/>
        <w:rPr>
          <w:rFonts w:ascii="仿宋_GB2312" w:eastAsia="仿宋_GB2312"/>
          <w:sz w:val="32"/>
          <w:szCs w:val="32"/>
        </w:rPr>
      </w:pPr>
      <w:r>
        <w:rPr>
          <w:rFonts w:hint="eastAsia" w:ascii="仿宋_GB2312" w:eastAsia="仿宋_GB2312"/>
          <w:sz w:val="32"/>
          <w:szCs w:val="32"/>
        </w:rPr>
        <w:t>到2020年，</w:t>
      </w:r>
      <w:r>
        <w:rPr>
          <w:rFonts w:ascii="仿宋_GB2312" w:eastAsia="仿宋_GB2312"/>
          <w:sz w:val="32"/>
          <w:szCs w:val="32"/>
        </w:rPr>
        <w:t>初步形成一定规模的</w:t>
      </w:r>
      <w:r>
        <w:rPr>
          <w:rFonts w:hint="eastAsia" w:ascii="仿宋_GB2312" w:eastAsia="仿宋_GB2312"/>
          <w:sz w:val="32"/>
          <w:szCs w:val="32"/>
        </w:rPr>
        <w:t>绿色低碳</w:t>
      </w:r>
      <w:r>
        <w:rPr>
          <w:rFonts w:ascii="仿宋_GB2312" w:eastAsia="仿宋_GB2312"/>
          <w:sz w:val="32"/>
          <w:szCs w:val="32"/>
        </w:rPr>
        <w:t>生物天然气产业</w:t>
      </w:r>
      <w:r>
        <w:rPr>
          <w:rFonts w:hint="eastAsia" w:ascii="仿宋_GB2312" w:eastAsia="仿宋_GB2312"/>
          <w:sz w:val="32"/>
          <w:szCs w:val="32"/>
        </w:rPr>
        <w:t>，年</w:t>
      </w:r>
      <w:r>
        <w:rPr>
          <w:rFonts w:ascii="仿宋_GB2312" w:eastAsia="仿宋_GB2312"/>
          <w:sz w:val="32"/>
          <w:szCs w:val="32"/>
        </w:rPr>
        <w:t>产量达到</w:t>
      </w:r>
      <w:r>
        <w:rPr>
          <w:rFonts w:hint="eastAsia" w:ascii="仿宋_GB2312" w:eastAsia="仿宋_GB2312"/>
          <w:sz w:val="32"/>
          <w:szCs w:val="32"/>
        </w:rPr>
        <w:t>80</w:t>
      </w:r>
      <w:r>
        <w:rPr>
          <w:rFonts w:ascii="仿宋_GB2312" w:eastAsia="仿宋_GB2312"/>
          <w:sz w:val="32"/>
          <w:szCs w:val="32"/>
        </w:rPr>
        <w:t>亿</w:t>
      </w:r>
      <w:r>
        <w:rPr>
          <w:rFonts w:hint="eastAsia" w:ascii="仿宋_GB2312" w:eastAsia="仿宋_GB2312"/>
          <w:sz w:val="32"/>
          <w:szCs w:val="32"/>
        </w:rPr>
        <w:t>立方米，建设160</w:t>
      </w:r>
      <w:r>
        <w:rPr>
          <w:rFonts w:ascii="仿宋_GB2312" w:eastAsia="仿宋_GB2312"/>
          <w:sz w:val="32"/>
          <w:szCs w:val="32"/>
        </w:rPr>
        <w:t>个生物天然气示范县</w:t>
      </w:r>
      <w:r>
        <w:rPr>
          <w:rFonts w:hint="eastAsia" w:ascii="仿宋_GB2312" w:eastAsia="仿宋_GB2312"/>
          <w:sz w:val="32"/>
          <w:szCs w:val="32"/>
        </w:rPr>
        <w:t>和循环农业示范县。</w:t>
      </w:r>
    </w:p>
    <w:p w14:paraId="774050C1">
      <w:pPr>
        <w:spacing w:line="360" w:lineRule="auto"/>
        <w:ind w:firstLine="643" w:firstLineChars="200"/>
        <w:rPr>
          <w:rFonts w:ascii="仿宋_GB2312" w:eastAsia="仿宋_GB2312"/>
          <w:b/>
          <w:sz w:val="32"/>
          <w:szCs w:val="32"/>
        </w:rPr>
      </w:pPr>
      <w:r>
        <w:rPr>
          <w:rFonts w:hint="eastAsia" w:ascii="仿宋_GB2312" w:eastAsia="仿宋_GB2312"/>
          <w:b/>
          <w:sz w:val="32"/>
          <w:szCs w:val="32"/>
        </w:rPr>
        <w:t>1、发展布局</w:t>
      </w:r>
    </w:p>
    <w:p w14:paraId="63E3C213">
      <w:pPr>
        <w:spacing w:afterLines="50" w:line="360" w:lineRule="auto"/>
        <w:ind w:firstLine="640" w:firstLineChars="200"/>
        <w:rPr>
          <w:rFonts w:eastAsia="仿宋_GB2312"/>
          <w:sz w:val="32"/>
          <w:szCs w:val="32"/>
        </w:rPr>
        <w:sectPr>
          <w:pgSz w:w="11906" w:h="16838"/>
          <w:pgMar w:top="1440" w:right="1800" w:bottom="1440" w:left="1800" w:header="851" w:footer="992" w:gutter="0"/>
          <w:cols w:space="425" w:num="1"/>
          <w:docGrid w:type="lines" w:linePitch="312" w:charSpace="0"/>
        </w:sectPr>
      </w:pPr>
      <w:r>
        <w:rPr>
          <w:rFonts w:hint="eastAsia" w:eastAsia="仿宋_GB2312"/>
          <w:sz w:val="32"/>
          <w:szCs w:val="32"/>
        </w:rPr>
        <w:t>在粮食主产省份以及畜禽养殖集中区等种植养殖大县，按照能源、农业、环保“三位一体”格局，整县推进，建设生物天然气循环经济示范区。</w:t>
      </w:r>
    </w:p>
    <w:tbl>
      <w:tblPr>
        <w:tblStyle w:val="18"/>
        <w:tblW w:w="12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972"/>
        <w:gridCol w:w="2555"/>
        <w:gridCol w:w="1399"/>
        <w:gridCol w:w="1842"/>
        <w:gridCol w:w="1640"/>
        <w:gridCol w:w="1616"/>
        <w:gridCol w:w="2058"/>
      </w:tblGrid>
      <w:tr w14:paraId="171CE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779" w:type="dxa"/>
            <w:gridSpan w:val="8"/>
            <w:shd w:val="clear" w:color="auto" w:fill="auto"/>
            <w:vAlign w:val="center"/>
          </w:tcPr>
          <w:p w14:paraId="131F9125">
            <w:pPr>
              <w:jc w:val="center"/>
              <w:rPr>
                <w:rFonts w:ascii="宋体" w:hAnsi="宋体" w:cs="宋体"/>
                <w:b/>
                <w:bCs/>
                <w:color w:val="000000"/>
                <w:kern w:val="0"/>
                <w:sz w:val="24"/>
                <w:szCs w:val="24"/>
                <w:highlight w:val="yellow"/>
              </w:rPr>
            </w:pPr>
            <w:r>
              <w:rPr>
                <w:rFonts w:hint="eastAsia"/>
                <w:b/>
                <w:sz w:val="24"/>
                <w:szCs w:val="24"/>
              </w:rPr>
              <w:t>专栏3  “十三五”全国生物天然气建设布局</w:t>
            </w:r>
          </w:p>
        </w:tc>
      </w:tr>
      <w:tr w14:paraId="12CC8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exact"/>
          <w:jc w:val="center"/>
        </w:trPr>
        <w:tc>
          <w:tcPr>
            <w:tcW w:w="697" w:type="dxa"/>
            <w:shd w:val="clear" w:color="auto" w:fill="auto"/>
            <w:vAlign w:val="center"/>
          </w:tcPr>
          <w:p w14:paraId="5BBD5C29">
            <w:pPr>
              <w:widowControl/>
              <w:snapToGrid w:val="0"/>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序号</w:t>
            </w:r>
          </w:p>
        </w:tc>
        <w:tc>
          <w:tcPr>
            <w:tcW w:w="972" w:type="dxa"/>
            <w:shd w:val="clear" w:color="auto" w:fill="auto"/>
            <w:vAlign w:val="center"/>
          </w:tcPr>
          <w:p w14:paraId="12713AF0">
            <w:pPr>
              <w:widowControl/>
              <w:snapToGrid w:val="0"/>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区域</w:t>
            </w:r>
          </w:p>
        </w:tc>
        <w:tc>
          <w:tcPr>
            <w:tcW w:w="2555" w:type="dxa"/>
            <w:vAlign w:val="center"/>
          </w:tcPr>
          <w:p w14:paraId="6C54F413">
            <w:pPr>
              <w:widowControl/>
              <w:snapToGrid w:val="0"/>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重点省份</w:t>
            </w:r>
          </w:p>
        </w:tc>
        <w:tc>
          <w:tcPr>
            <w:tcW w:w="1399" w:type="dxa"/>
            <w:vAlign w:val="center"/>
          </w:tcPr>
          <w:p w14:paraId="6D6E7DB1">
            <w:pPr>
              <w:widowControl/>
              <w:snapToGrid w:val="0"/>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种植养殖大县数量</w:t>
            </w:r>
          </w:p>
        </w:tc>
        <w:tc>
          <w:tcPr>
            <w:tcW w:w="1842" w:type="dxa"/>
            <w:vAlign w:val="center"/>
          </w:tcPr>
          <w:p w14:paraId="4699E78D">
            <w:pPr>
              <w:widowControl/>
              <w:snapToGrid w:val="0"/>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到</w:t>
            </w:r>
            <w:r>
              <w:rPr>
                <w:rFonts w:ascii="仿宋_GB2312" w:hAnsi="宋体" w:eastAsia="仿宋_GB2312" w:cs="宋体"/>
                <w:b/>
                <w:bCs/>
                <w:color w:val="000000"/>
                <w:kern w:val="0"/>
                <w:sz w:val="24"/>
                <w:szCs w:val="24"/>
              </w:rPr>
              <w:t>2020年前</w:t>
            </w:r>
            <w:r>
              <w:rPr>
                <w:rFonts w:hint="eastAsia" w:ascii="仿宋_GB2312" w:hAnsi="宋体" w:eastAsia="仿宋_GB2312" w:cs="宋体"/>
                <w:b/>
                <w:bCs/>
                <w:color w:val="000000"/>
                <w:kern w:val="0"/>
                <w:sz w:val="24"/>
                <w:szCs w:val="24"/>
              </w:rPr>
              <w:t>建设示范县数量</w:t>
            </w:r>
          </w:p>
        </w:tc>
        <w:tc>
          <w:tcPr>
            <w:tcW w:w="1640" w:type="dxa"/>
            <w:shd w:val="clear" w:color="auto" w:fill="auto"/>
            <w:vAlign w:val="center"/>
          </w:tcPr>
          <w:p w14:paraId="7ACC1843">
            <w:pPr>
              <w:widowControl/>
              <w:snapToGrid w:val="0"/>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秸秆理论资源量（万吨）</w:t>
            </w:r>
          </w:p>
        </w:tc>
        <w:tc>
          <w:tcPr>
            <w:tcW w:w="1616" w:type="dxa"/>
            <w:vAlign w:val="center"/>
          </w:tcPr>
          <w:p w14:paraId="193B2B1A">
            <w:pPr>
              <w:widowControl/>
              <w:snapToGrid w:val="0"/>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粪便理论资源量（万吨）</w:t>
            </w:r>
          </w:p>
        </w:tc>
        <w:tc>
          <w:tcPr>
            <w:tcW w:w="2058" w:type="dxa"/>
            <w:shd w:val="clear" w:color="auto" w:fill="auto"/>
            <w:vAlign w:val="center"/>
          </w:tcPr>
          <w:p w14:paraId="7C8D394F">
            <w:pPr>
              <w:widowControl/>
              <w:snapToGrid w:val="0"/>
              <w:jc w:val="center"/>
              <w:rPr>
                <w:rFonts w:ascii="仿宋_GB2312" w:hAnsi="宋体" w:eastAsia="仿宋_GB2312" w:cs="宋体"/>
                <w:b/>
                <w:bCs/>
                <w:color w:val="000000"/>
                <w:kern w:val="0"/>
                <w:sz w:val="24"/>
                <w:szCs w:val="24"/>
              </w:rPr>
            </w:pPr>
            <w:r>
              <w:rPr>
                <w:rFonts w:hint="eastAsia" w:ascii="仿宋_GB2312" w:hAnsi="宋体" w:eastAsia="仿宋_GB2312" w:cs="宋体"/>
                <w:b/>
                <w:bCs/>
                <w:color w:val="000000"/>
                <w:kern w:val="0"/>
                <w:sz w:val="24"/>
                <w:szCs w:val="24"/>
              </w:rPr>
              <w:t>生物天然气发展规模</w:t>
            </w:r>
            <w:r>
              <w:rPr>
                <w:rFonts w:ascii="仿宋_GB2312" w:hAnsi="宋体" w:eastAsia="仿宋_GB2312" w:cs="宋体"/>
                <w:b/>
                <w:bCs/>
                <w:color w:val="000000"/>
                <w:kern w:val="0"/>
                <w:sz w:val="24"/>
                <w:szCs w:val="24"/>
              </w:rPr>
              <w:t>(亿</w:t>
            </w:r>
            <w:r>
              <w:rPr>
                <w:rFonts w:hint="eastAsia" w:ascii="仿宋_GB2312" w:hAnsi="宋体" w:eastAsia="仿宋_GB2312" w:cs="宋体"/>
                <w:b/>
                <w:bCs/>
                <w:color w:val="000000"/>
                <w:kern w:val="0"/>
                <w:sz w:val="24"/>
                <w:szCs w:val="24"/>
              </w:rPr>
              <w:t>立方米</w:t>
            </w:r>
            <w:r>
              <w:rPr>
                <w:rFonts w:ascii="仿宋_GB2312" w:hAnsi="宋体" w:eastAsia="仿宋_GB2312" w:cs="宋体"/>
                <w:b/>
                <w:bCs/>
                <w:color w:val="000000"/>
                <w:kern w:val="0"/>
                <w:sz w:val="24"/>
                <w:szCs w:val="24"/>
              </w:rPr>
              <w:t>/年）</w:t>
            </w:r>
          </w:p>
        </w:tc>
      </w:tr>
      <w:tr w14:paraId="4AE3A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exact"/>
          <w:jc w:val="center"/>
        </w:trPr>
        <w:tc>
          <w:tcPr>
            <w:tcW w:w="697" w:type="dxa"/>
            <w:shd w:val="clear" w:color="auto" w:fill="auto"/>
            <w:vAlign w:val="center"/>
          </w:tcPr>
          <w:p w14:paraId="004F1095">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1</w:t>
            </w:r>
          </w:p>
        </w:tc>
        <w:tc>
          <w:tcPr>
            <w:tcW w:w="972" w:type="dxa"/>
            <w:shd w:val="clear" w:color="auto" w:fill="auto"/>
            <w:vAlign w:val="center"/>
          </w:tcPr>
          <w:p w14:paraId="57C0BC7D">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华北</w:t>
            </w:r>
          </w:p>
        </w:tc>
        <w:tc>
          <w:tcPr>
            <w:tcW w:w="2555" w:type="dxa"/>
            <w:vAlign w:val="center"/>
          </w:tcPr>
          <w:p w14:paraId="1137631B">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河北</w:t>
            </w:r>
            <w:r>
              <w:rPr>
                <w:rFonts w:hint="eastAsia" w:ascii="仿宋_GB2312" w:hAnsi="宋体" w:eastAsia="仿宋_GB2312"/>
                <w:color w:val="000000"/>
                <w:sz w:val="24"/>
                <w:szCs w:val="24"/>
              </w:rPr>
              <w:t>、内蒙古等</w:t>
            </w:r>
          </w:p>
        </w:tc>
        <w:tc>
          <w:tcPr>
            <w:tcW w:w="1399" w:type="dxa"/>
            <w:vAlign w:val="center"/>
          </w:tcPr>
          <w:p w14:paraId="2B13AC2F">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37</w:t>
            </w:r>
          </w:p>
        </w:tc>
        <w:tc>
          <w:tcPr>
            <w:tcW w:w="1842" w:type="dxa"/>
            <w:vAlign w:val="center"/>
          </w:tcPr>
          <w:p w14:paraId="00FA178F">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22</w:t>
            </w:r>
          </w:p>
        </w:tc>
        <w:tc>
          <w:tcPr>
            <w:tcW w:w="1640" w:type="dxa"/>
            <w:shd w:val="clear" w:color="auto" w:fill="auto"/>
            <w:vAlign w:val="center"/>
          </w:tcPr>
          <w:p w14:paraId="1ECC782B">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5550</w:t>
            </w:r>
          </w:p>
        </w:tc>
        <w:tc>
          <w:tcPr>
            <w:tcW w:w="1616" w:type="dxa"/>
            <w:vAlign w:val="center"/>
          </w:tcPr>
          <w:p w14:paraId="1FFA7826">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9250</w:t>
            </w:r>
          </w:p>
        </w:tc>
        <w:tc>
          <w:tcPr>
            <w:tcW w:w="2058" w:type="dxa"/>
            <w:shd w:val="clear" w:color="auto" w:fill="auto"/>
            <w:vAlign w:val="center"/>
          </w:tcPr>
          <w:p w14:paraId="0337ADC7">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11</w:t>
            </w:r>
          </w:p>
        </w:tc>
      </w:tr>
      <w:tr w14:paraId="2784F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697" w:type="dxa"/>
            <w:shd w:val="clear" w:color="auto" w:fill="auto"/>
            <w:vAlign w:val="center"/>
          </w:tcPr>
          <w:p w14:paraId="268019F4">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2</w:t>
            </w:r>
          </w:p>
        </w:tc>
        <w:tc>
          <w:tcPr>
            <w:tcW w:w="972" w:type="dxa"/>
            <w:shd w:val="clear" w:color="auto" w:fill="auto"/>
            <w:vAlign w:val="center"/>
          </w:tcPr>
          <w:p w14:paraId="75C63ABF">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东北</w:t>
            </w:r>
          </w:p>
        </w:tc>
        <w:tc>
          <w:tcPr>
            <w:tcW w:w="2555" w:type="dxa"/>
            <w:vAlign w:val="center"/>
          </w:tcPr>
          <w:p w14:paraId="10333E60">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辽宁、吉林、</w:t>
            </w:r>
            <w:r>
              <w:rPr>
                <w:rFonts w:ascii="仿宋_GB2312" w:hAnsi="宋体" w:eastAsia="仿宋_GB2312"/>
                <w:color w:val="000000"/>
                <w:sz w:val="24"/>
                <w:szCs w:val="24"/>
              </w:rPr>
              <w:t>黑龙江</w:t>
            </w:r>
          </w:p>
        </w:tc>
        <w:tc>
          <w:tcPr>
            <w:tcW w:w="1399" w:type="dxa"/>
            <w:vAlign w:val="center"/>
          </w:tcPr>
          <w:p w14:paraId="28BA97B0">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57</w:t>
            </w:r>
          </w:p>
        </w:tc>
        <w:tc>
          <w:tcPr>
            <w:tcW w:w="1842" w:type="dxa"/>
            <w:vAlign w:val="center"/>
          </w:tcPr>
          <w:p w14:paraId="366E4238">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36</w:t>
            </w:r>
          </w:p>
        </w:tc>
        <w:tc>
          <w:tcPr>
            <w:tcW w:w="1640" w:type="dxa"/>
            <w:shd w:val="clear" w:color="auto" w:fill="auto"/>
            <w:vAlign w:val="center"/>
          </w:tcPr>
          <w:p w14:paraId="66CB7924">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8550</w:t>
            </w:r>
          </w:p>
        </w:tc>
        <w:tc>
          <w:tcPr>
            <w:tcW w:w="1616" w:type="dxa"/>
            <w:vAlign w:val="center"/>
          </w:tcPr>
          <w:p w14:paraId="2FA53C8C">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14250</w:t>
            </w:r>
          </w:p>
        </w:tc>
        <w:tc>
          <w:tcPr>
            <w:tcW w:w="2058" w:type="dxa"/>
            <w:shd w:val="clear" w:color="auto" w:fill="auto"/>
            <w:vAlign w:val="center"/>
          </w:tcPr>
          <w:p w14:paraId="3105F68C">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18</w:t>
            </w:r>
          </w:p>
        </w:tc>
      </w:tr>
      <w:tr w14:paraId="5798A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exact"/>
          <w:jc w:val="center"/>
        </w:trPr>
        <w:tc>
          <w:tcPr>
            <w:tcW w:w="697" w:type="dxa"/>
            <w:shd w:val="clear" w:color="auto" w:fill="auto"/>
            <w:noWrap/>
            <w:vAlign w:val="center"/>
          </w:tcPr>
          <w:p w14:paraId="35373981">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3</w:t>
            </w:r>
          </w:p>
        </w:tc>
        <w:tc>
          <w:tcPr>
            <w:tcW w:w="972" w:type="dxa"/>
            <w:shd w:val="clear" w:color="auto" w:fill="auto"/>
            <w:vAlign w:val="center"/>
          </w:tcPr>
          <w:p w14:paraId="54459001">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华东</w:t>
            </w:r>
          </w:p>
        </w:tc>
        <w:tc>
          <w:tcPr>
            <w:tcW w:w="2555" w:type="dxa"/>
            <w:vAlign w:val="center"/>
          </w:tcPr>
          <w:p w14:paraId="1F19B3DC">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江苏、浙江、安徽、江西、山东等</w:t>
            </w:r>
          </w:p>
        </w:tc>
        <w:tc>
          <w:tcPr>
            <w:tcW w:w="1399" w:type="dxa"/>
            <w:vAlign w:val="center"/>
          </w:tcPr>
          <w:p w14:paraId="10BEF2D9">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66</w:t>
            </w:r>
          </w:p>
        </w:tc>
        <w:tc>
          <w:tcPr>
            <w:tcW w:w="1842" w:type="dxa"/>
            <w:vAlign w:val="center"/>
          </w:tcPr>
          <w:p w14:paraId="64D62D70">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32</w:t>
            </w:r>
          </w:p>
        </w:tc>
        <w:tc>
          <w:tcPr>
            <w:tcW w:w="1640" w:type="dxa"/>
            <w:shd w:val="clear" w:color="auto" w:fill="auto"/>
            <w:noWrap/>
            <w:vAlign w:val="center"/>
          </w:tcPr>
          <w:p w14:paraId="1B3625C4">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9900</w:t>
            </w:r>
          </w:p>
        </w:tc>
        <w:tc>
          <w:tcPr>
            <w:tcW w:w="1616" w:type="dxa"/>
            <w:vAlign w:val="center"/>
          </w:tcPr>
          <w:p w14:paraId="48D3067A">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16500</w:t>
            </w:r>
          </w:p>
        </w:tc>
        <w:tc>
          <w:tcPr>
            <w:tcW w:w="2058" w:type="dxa"/>
            <w:shd w:val="clear" w:color="auto" w:fill="auto"/>
            <w:vAlign w:val="center"/>
          </w:tcPr>
          <w:p w14:paraId="61E540D5">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16</w:t>
            </w:r>
          </w:p>
        </w:tc>
      </w:tr>
      <w:tr w14:paraId="02C96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jc w:val="center"/>
        </w:trPr>
        <w:tc>
          <w:tcPr>
            <w:tcW w:w="697" w:type="dxa"/>
            <w:shd w:val="clear" w:color="auto" w:fill="auto"/>
            <w:noWrap/>
            <w:vAlign w:val="center"/>
          </w:tcPr>
          <w:p w14:paraId="30D98F82">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4</w:t>
            </w:r>
          </w:p>
        </w:tc>
        <w:tc>
          <w:tcPr>
            <w:tcW w:w="972" w:type="dxa"/>
            <w:shd w:val="clear" w:color="auto" w:fill="auto"/>
            <w:vAlign w:val="center"/>
          </w:tcPr>
          <w:p w14:paraId="20FA0CEE">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华中</w:t>
            </w:r>
          </w:p>
        </w:tc>
        <w:tc>
          <w:tcPr>
            <w:tcW w:w="2555" w:type="dxa"/>
            <w:vAlign w:val="center"/>
          </w:tcPr>
          <w:p w14:paraId="2EE20C42">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河南、湖北、湖南</w:t>
            </w:r>
          </w:p>
        </w:tc>
        <w:tc>
          <w:tcPr>
            <w:tcW w:w="1399" w:type="dxa"/>
            <w:vAlign w:val="center"/>
          </w:tcPr>
          <w:p w14:paraId="0E2DB603">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69</w:t>
            </w:r>
          </w:p>
        </w:tc>
        <w:tc>
          <w:tcPr>
            <w:tcW w:w="1842" w:type="dxa"/>
            <w:vAlign w:val="center"/>
          </w:tcPr>
          <w:p w14:paraId="6670A247">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32</w:t>
            </w:r>
          </w:p>
        </w:tc>
        <w:tc>
          <w:tcPr>
            <w:tcW w:w="1640" w:type="dxa"/>
            <w:shd w:val="clear" w:color="auto" w:fill="auto"/>
            <w:noWrap/>
            <w:vAlign w:val="center"/>
          </w:tcPr>
          <w:p w14:paraId="6D51E46A">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10350</w:t>
            </w:r>
          </w:p>
        </w:tc>
        <w:tc>
          <w:tcPr>
            <w:tcW w:w="1616" w:type="dxa"/>
            <w:vAlign w:val="center"/>
          </w:tcPr>
          <w:p w14:paraId="0F07423F">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17250</w:t>
            </w:r>
          </w:p>
        </w:tc>
        <w:tc>
          <w:tcPr>
            <w:tcW w:w="2058" w:type="dxa"/>
            <w:shd w:val="clear" w:color="auto" w:fill="auto"/>
            <w:vAlign w:val="center"/>
          </w:tcPr>
          <w:p w14:paraId="45C78A25">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16</w:t>
            </w:r>
          </w:p>
        </w:tc>
      </w:tr>
      <w:tr w14:paraId="45CD2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exact"/>
          <w:jc w:val="center"/>
        </w:trPr>
        <w:tc>
          <w:tcPr>
            <w:tcW w:w="697" w:type="dxa"/>
            <w:shd w:val="clear" w:color="auto" w:fill="auto"/>
            <w:noWrap/>
            <w:vAlign w:val="center"/>
          </w:tcPr>
          <w:p w14:paraId="43BC33C8">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5</w:t>
            </w:r>
          </w:p>
        </w:tc>
        <w:tc>
          <w:tcPr>
            <w:tcW w:w="972" w:type="dxa"/>
            <w:shd w:val="clear" w:color="auto" w:fill="auto"/>
            <w:vAlign w:val="center"/>
          </w:tcPr>
          <w:p w14:paraId="7AF0D0A4">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华南</w:t>
            </w:r>
          </w:p>
          <w:p w14:paraId="6F16B8BC">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西南</w:t>
            </w:r>
          </w:p>
        </w:tc>
        <w:tc>
          <w:tcPr>
            <w:tcW w:w="2555" w:type="dxa"/>
            <w:vAlign w:val="center"/>
          </w:tcPr>
          <w:p w14:paraId="591A78BD">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广西、重庆、四川等</w:t>
            </w:r>
          </w:p>
        </w:tc>
        <w:tc>
          <w:tcPr>
            <w:tcW w:w="1399" w:type="dxa"/>
            <w:vAlign w:val="center"/>
          </w:tcPr>
          <w:p w14:paraId="048B46E8">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34</w:t>
            </w:r>
          </w:p>
        </w:tc>
        <w:tc>
          <w:tcPr>
            <w:tcW w:w="1842" w:type="dxa"/>
            <w:vAlign w:val="center"/>
          </w:tcPr>
          <w:p w14:paraId="5A125454">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16</w:t>
            </w:r>
          </w:p>
        </w:tc>
        <w:tc>
          <w:tcPr>
            <w:tcW w:w="1640" w:type="dxa"/>
            <w:shd w:val="clear" w:color="auto" w:fill="auto"/>
            <w:noWrap/>
            <w:vAlign w:val="center"/>
          </w:tcPr>
          <w:p w14:paraId="356D3EAB">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5100</w:t>
            </w:r>
          </w:p>
        </w:tc>
        <w:tc>
          <w:tcPr>
            <w:tcW w:w="1616" w:type="dxa"/>
            <w:vAlign w:val="center"/>
          </w:tcPr>
          <w:p w14:paraId="416BAE00">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8500</w:t>
            </w:r>
          </w:p>
        </w:tc>
        <w:tc>
          <w:tcPr>
            <w:tcW w:w="2058" w:type="dxa"/>
            <w:shd w:val="clear" w:color="auto" w:fill="auto"/>
            <w:vAlign w:val="center"/>
          </w:tcPr>
          <w:p w14:paraId="265A4E00">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8</w:t>
            </w:r>
          </w:p>
        </w:tc>
      </w:tr>
      <w:tr w14:paraId="09FE8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exact"/>
          <w:jc w:val="center"/>
        </w:trPr>
        <w:tc>
          <w:tcPr>
            <w:tcW w:w="697" w:type="dxa"/>
            <w:shd w:val="clear" w:color="auto" w:fill="auto"/>
            <w:noWrap/>
            <w:vAlign w:val="center"/>
          </w:tcPr>
          <w:p w14:paraId="29EC02E1">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6</w:t>
            </w:r>
          </w:p>
        </w:tc>
        <w:tc>
          <w:tcPr>
            <w:tcW w:w="972" w:type="dxa"/>
            <w:shd w:val="clear" w:color="auto" w:fill="auto"/>
            <w:vAlign w:val="center"/>
          </w:tcPr>
          <w:p w14:paraId="2F22CBB5">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西北</w:t>
            </w:r>
          </w:p>
        </w:tc>
        <w:tc>
          <w:tcPr>
            <w:tcW w:w="2555" w:type="dxa"/>
            <w:vAlign w:val="center"/>
          </w:tcPr>
          <w:p w14:paraId="19ADD8BC">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陕西、甘肃、新疆等</w:t>
            </w:r>
          </w:p>
        </w:tc>
        <w:tc>
          <w:tcPr>
            <w:tcW w:w="1399" w:type="dxa"/>
            <w:vAlign w:val="center"/>
          </w:tcPr>
          <w:p w14:paraId="2B35CB09">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37</w:t>
            </w:r>
          </w:p>
        </w:tc>
        <w:tc>
          <w:tcPr>
            <w:tcW w:w="1842" w:type="dxa"/>
            <w:vAlign w:val="center"/>
          </w:tcPr>
          <w:p w14:paraId="2828CE2F">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22</w:t>
            </w:r>
          </w:p>
        </w:tc>
        <w:tc>
          <w:tcPr>
            <w:tcW w:w="1640" w:type="dxa"/>
            <w:shd w:val="clear" w:color="auto" w:fill="auto"/>
            <w:noWrap/>
            <w:vAlign w:val="center"/>
          </w:tcPr>
          <w:p w14:paraId="5371064F">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5550</w:t>
            </w:r>
          </w:p>
        </w:tc>
        <w:tc>
          <w:tcPr>
            <w:tcW w:w="1616" w:type="dxa"/>
            <w:vAlign w:val="center"/>
          </w:tcPr>
          <w:p w14:paraId="22917120">
            <w:pPr>
              <w:widowControl/>
              <w:snapToGrid w:val="0"/>
              <w:spacing w:line="240" w:lineRule="atLeast"/>
              <w:jc w:val="center"/>
              <w:rPr>
                <w:rFonts w:ascii="仿宋_GB2312" w:hAnsi="宋体" w:eastAsia="仿宋_GB2312"/>
                <w:color w:val="000000"/>
                <w:sz w:val="24"/>
                <w:szCs w:val="24"/>
              </w:rPr>
            </w:pPr>
            <w:r>
              <w:rPr>
                <w:rFonts w:ascii="仿宋_GB2312" w:hAnsi="宋体" w:eastAsia="仿宋_GB2312"/>
                <w:color w:val="000000"/>
                <w:sz w:val="24"/>
                <w:szCs w:val="24"/>
              </w:rPr>
              <w:t>9250</w:t>
            </w:r>
          </w:p>
        </w:tc>
        <w:tc>
          <w:tcPr>
            <w:tcW w:w="2058" w:type="dxa"/>
            <w:shd w:val="clear" w:color="auto" w:fill="auto"/>
            <w:vAlign w:val="center"/>
          </w:tcPr>
          <w:p w14:paraId="6E527C48">
            <w:pPr>
              <w:widowControl/>
              <w:snapToGrid w:val="0"/>
              <w:spacing w:line="240" w:lineRule="atLeast"/>
              <w:jc w:val="center"/>
              <w:rPr>
                <w:rFonts w:ascii="仿宋_GB2312" w:hAnsi="宋体" w:eastAsia="仿宋_GB2312"/>
                <w:color w:val="000000"/>
                <w:sz w:val="24"/>
                <w:szCs w:val="24"/>
              </w:rPr>
            </w:pPr>
            <w:r>
              <w:rPr>
                <w:rFonts w:hint="eastAsia" w:ascii="仿宋_GB2312" w:hAnsi="宋体" w:eastAsia="仿宋_GB2312"/>
                <w:color w:val="000000"/>
                <w:sz w:val="24"/>
                <w:szCs w:val="24"/>
              </w:rPr>
              <w:t>11</w:t>
            </w:r>
          </w:p>
        </w:tc>
      </w:tr>
      <w:tr w14:paraId="6C4D0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exact"/>
          <w:jc w:val="center"/>
        </w:trPr>
        <w:tc>
          <w:tcPr>
            <w:tcW w:w="4224" w:type="dxa"/>
            <w:gridSpan w:val="3"/>
            <w:shd w:val="clear" w:color="auto" w:fill="auto"/>
            <w:noWrap/>
            <w:vAlign w:val="center"/>
          </w:tcPr>
          <w:p w14:paraId="2089EF1C">
            <w:pPr>
              <w:widowControl/>
              <w:snapToGrid w:val="0"/>
              <w:spacing w:line="240" w:lineRule="atLeast"/>
              <w:jc w:val="center"/>
              <w:rPr>
                <w:rFonts w:ascii="仿宋_GB2312" w:hAnsi="宋体" w:eastAsia="仿宋_GB2312"/>
                <w:b/>
                <w:color w:val="000000"/>
                <w:sz w:val="24"/>
                <w:szCs w:val="24"/>
              </w:rPr>
            </w:pPr>
            <w:r>
              <w:rPr>
                <w:rFonts w:hint="eastAsia" w:ascii="仿宋_GB2312" w:hAnsi="宋体" w:eastAsia="仿宋_GB2312"/>
                <w:b/>
                <w:color w:val="000000"/>
                <w:sz w:val="24"/>
                <w:szCs w:val="24"/>
              </w:rPr>
              <w:t>总 计</w:t>
            </w:r>
          </w:p>
        </w:tc>
        <w:tc>
          <w:tcPr>
            <w:tcW w:w="1399" w:type="dxa"/>
            <w:vAlign w:val="center"/>
          </w:tcPr>
          <w:p w14:paraId="3FB8B6CF">
            <w:pPr>
              <w:widowControl/>
              <w:snapToGrid w:val="0"/>
              <w:spacing w:line="240" w:lineRule="atLeast"/>
              <w:jc w:val="center"/>
              <w:rPr>
                <w:rFonts w:ascii="仿宋_GB2312" w:hAnsi="宋体" w:eastAsia="仿宋_GB2312"/>
                <w:b/>
                <w:color w:val="000000"/>
                <w:sz w:val="24"/>
                <w:szCs w:val="24"/>
              </w:rPr>
            </w:pPr>
            <w:r>
              <w:rPr>
                <w:rFonts w:hint="eastAsia" w:ascii="仿宋_GB2312" w:hAnsi="宋体" w:eastAsia="仿宋_GB2312"/>
                <w:b/>
                <w:color w:val="000000"/>
                <w:sz w:val="24"/>
                <w:szCs w:val="24"/>
              </w:rPr>
              <w:t>300</w:t>
            </w:r>
          </w:p>
        </w:tc>
        <w:tc>
          <w:tcPr>
            <w:tcW w:w="1842" w:type="dxa"/>
            <w:vAlign w:val="center"/>
          </w:tcPr>
          <w:p w14:paraId="7FE34676">
            <w:pPr>
              <w:widowControl/>
              <w:snapToGrid w:val="0"/>
              <w:spacing w:line="240" w:lineRule="atLeast"/>
              <w:jc w:val="center"/>
              <w:rPr>
                <w:rFonts w:ascii="仿宋_GB2312" w:hAnsi="宋体" w:eastAsia="仿宋_GB2312"/>
                <w:b/>
                <w:color w:val="000000"/>
                <w:sz w:val="24"/>
                <w:szCs w:val="24"/>
              </w:rPr>
            </w:pPr>
            <w:r>
              <w:rPr>
                <w:rFonts w:hint="eastAsia" w:ascii="仿宋_GB2312" w:hAnsi="宋体" w:eastAsia="仿宋_GB2312"/>
                <w:b/>
                <w:color w:val="000000"/>
                <w:sz w:val="24"/>
                <w:szCs w:val="24"/>
              </w:rPr>
              <w:t>160</w:t>
            </w:r>
          </w:p>
        </w:tc>
        <w:tc>
          <w:tcPr>
            <w:tcW w:w="1640" w:type="dxa"/>
            <w:shd w:val="clear" w:color="auto" w:fill="auto"/>
            <w:noWrap/>
            <w:vAlign w:val="center"/>
          </w:tcPr>
          <w:p w14:paraId="54F2DF49">
            <w:pPr>
              <w:widowControl/>
              <w:snapToGrid w:val="0"/>
              <w:spacing w:line="240" w:lineRule="atLeast"/>
              <w:jc w:val="center"/>
              <w:rPr>
                <w:rFonts w:ascii="仿宋_GB2312" w:hAnsi="宋体" w:eastAsia="仿宋_GB2312"/>
                <w:b/>
                <w:color w:val="000000"/>
                <w:sz w:val="24"/>
                <w:szCs w:val="24"/>
              </w:rPr>
            </w:pPr>
            <w:r>
              <w:rPr>
                <w:rFonts w:ascii="仿宋_GB2312" w:hAnsi="宋体" w:eastAsia="仿宋_GB2312"/>
                <w:b/>
                <w:color w:val="000000"/>
                <w:sz w:val="24"/>
                <w:szCs w:val="24"/>
              </w:rPr>
              <w:t>45000</w:t>
            </w:r>
          </w:p>
        </w:tc>
        <w:tc>
          <w:tcPr>
            <w:tcW w:w="1616" w:type="dxa"/>
            <w:vAlign w:val="center"/>
          </w:tcPr>
          <w:p w14:paraId="687B1709">
            <w:pPr>
              <w:widowControl/>
              <w:snapToGrid w:val="0"/>
              <w:spacing w:line="240" w:lineRule="atLeast"/>
              <w:jc w:val="center"/>
              <w:rPr>
                <w:rFonts w:ascii="仿宋_GB2312" w:hAnsi="宋体" w:eastAsia="仿宋_GB2312"/>
                <w:b/>
                <w:color w:val="000000"/>
                <w:sz w:val="24"/>
                <w:szCs w:val="24"/>
              </w:rPr>
            </w:pPr>
            <w:r>
              <w:rPr>
                <w:rFonts w:ascii="仿宋_GB2312" w:hAnsi="宋体" w:eastAsia="仿宋_GB2312"/>
                <w:b/>
                <w:color w:val="000000"/>
                <w:sz w:val="24"/>
                <w:szCs w:val="24"/>
              </w:rPr>
              <w:t>75000</w:t>
            </w:r>
          </w:p>
        </w:tc>
        <w:tc>
          <w:tcPr>
            <w:tcW w:w="2058" w:type="dxa"/>
            <w:shd w:val="clear" w:color="auto" w:fill="auto"/>
            <w:vAlign w:val="center"/>
          </w:tcPr>
          <w:p w14:paraId="585EB4E9">
            <w:pPr>
              <w:widowControl/>
              <w:snapToGrid w:val="0"/>
              <w:spacing w:line="240" w:lineRule="atLeast"/>
              <w:jc w:val="center"/>
              <w:rPr>
                <w:rFonts w:ascii="仿宋_GB2312" w:hAnsi="宋体" w:eastAsia="仿宋_GB2312"/>
                <w:b/>
                <w:color w:val="000000"/>
                <w:sz w:val="24"/>
                <w:szCs w:val="24"/>
              </w:rPr>
            </w:pPr>
            <w:r>
              <w:rPr>
                <w:rFonts w:hint="eastAsia" w:ascii="仿宋_GB2312" w:hAnsi="宋体" w:eastAsia="仿宋_GB2312"/>
                <w:b/>
                <w:color w:val="000000"/>
                <w:sz w:val="24"/>
                <w:szCs w:val="24"/>
              </w:rPr>
              <w:t>80</w:t>
            </w:r>
          </w:p>
        </w:tc>
      </w:tr>
    </w:tbl>
    <w:p w14:paraId="5E09957A">
      <w:pPr>
        <w:snapToGrid w:val="0"/>
        <w:ind w:firstLine="562" w:firstLineChars="200"/>
        <w:rPr>
          <w:rFonts w:ascii="仿宋_GB2312" w:eastAsia="仿宋_GB2312"/>
          <w:szCs w:val="28"/>
        </w:rPr>
        <w:sectPr>
          <w:pgSz w:w="16838" w:h="11906" w:orient="landscape"/>
          <w:pgMar w:top="1800" w:right="1440" w:bottom="1800" w:left="1440" w:header="851" w:footer="992" w:gutter="0"/>
          <w:cols w:space="425" w:num="1"/>
          <w:docGrid w:type="lines" w:linePitch="381" w:charSpace="0"/>
        </w:sectPr>
      </w:pPr>
      <w:r>
        <w:rPr>
          <w:rFonts w:hint="eastAsia" w:ascii="仿宋_GB2312" w:eastAsia="仿宋_GB2312"/>
          <w:b/>
          <w:szCs w:val="28"/>
        </w:rPr>
        <w:t>注：</w:t>
      </w:r>
      <w:r>
        <w:rPr>
          <w:rFonts w:hint="eastAsia" w:ascii="仿宋_GB2312" w:eastAsia="仿宋_GB2312"/>
          <w:szCs w:val="28"/>
        </w:rPr>
        <w:t>秸秆理论资源量为干物质量（万吨），畜禽粪便理论资源量为鲜重量（万吨）。</w:t>
      </w:r>
    </w:p>
    <w:p w14:paraId="7F890C58">
      <w:pPr>
        <w:spacing w:line="360" w:lineRule="auto"/>
        <w:ind w:firstLine="643" w:firstLineChars="200"/>
        <w:rPr>
          <w:rFonts w:ascii="仿宋_GB2312" w:eastAsia="仿宋_GB2312"/>
          <w:b/>
          <w:sz w:val="32"/>
          <w:szCs w:val="32"/>
        </w:rPr>
      </w:pPr>
      <w:r>
        <w:rPr>
          <w:rFonts w:hint="eastAsia" w:ascii="仿宋_GB2312" w:eastAsia="仿宋_GB2312"/>
          <w:b/>
          <w:sz w:val="32"/>
          <w:szCs w:val="32"/>
        </w:rPr>
        <w:t>2、建设重点</w:t>
      </w:r>
    </w:p>
    <w:p w14:paraId="6431B777">
      <w:pPr>
        <w:spacing w:line="360" w:lineRule="auto"/>
        <w:ind w:firstLine="630"/>
        <w:rPr>
          <w:rFonts w:ascii="仿宋_GB2312" w:eastAsia="仿宋_GB2312"/>
          <w:sz w:val="32"/>
          <w:szCs w:val="32"/>
        </w:rPr>
      </w:pPr>
      <w:r>
        <w:rPr>
          <w:rFonts w:hint="eastAsia" w:ascii="仿宋_GB2312" w:eastAsia="仿宋_GB2312"/>
          <w:b/>
          <w:sz w:val="32"/>
          <w:szCs w:val="32"/>
        </w:rPr>
        <w:t>推动全国生物天然气示范县建设。</w:t>
      </w:r>
      <w:r>
        <w:rPr>
          <w:rFonts w:hint="eastAsia" w:ascii="仿宋_GB2312" w:eastAsia="仿宋_GB2312"/>
          <w:sz w:val="32"/>
          <w:szCs w:val="32"/>
        </w:rPr>
        <w:t>以县为单位建立产业体系，选择有机废弃物丰富的种植养殖大县，编制县域生物天然气开发建设规划</w:t>
      </w:r>
      <w:r>
        <w:rPr>
          <w:rFonts w:ascii="仿宋_GB2312" w:eastAsia="仿宋_GB2312"/>
          <w:sz w:val="32"/>
          <w:szCs w:val="32"/>
        </w:rPr>
        <w:t>，</w:t>
      </w:r>
      <w:r>
        <w:rPr>
          <w:rFonts w:hint="eastAsia" w:ascii="仿宋_GB2312" w:eastAsia="仿宋_GB2312"/>
          <w:sz w:val="32"/>
          <w:szCs w:val="32"/>
        </w:rPr>
        <w:t>立足于整县推进，发展生物天然气和有机肥</w:t>
      </w:r>
      <w:r>
        <w:rPr>
          <w:rFonts w:ascii="仿宋_GB2312" w:eastAsia="仿宋_GB2312"/>
          <w:sz w:val="32"/>
          <w:szCs w:val="32"/>
        </w:rPr>
        <w:t>，建立</w:t>
      </w:r>
      <w:r>
        <w:rPr>
          <w:rFonts w:hint="eastAsia" w:ascii="仿宋_GB2312" w:eastAsia="仿宋_GB2312"/>
          <w:sz w:val="32"/>
          <w:szCs w:val="32"/>
        </w:rPr>
        <w:t>原料收集保障、生物天然气消费、有机肥利用和环保监管</w:t>
      </w:r>
      <w:r>
        <w:rPr>
          <w:rFonts w:ascii="仿宋_GB2312" w:eastAsia="仿宋_GB2312"/>
          <w:sz w:val="32"/>
          <w:szCs w:val="32"/>
        </w:rPr>
        <w:t>体系，构建县域分布式生产消费模式</w:t>
      </w:r>
      <w:r>
        <w:rPr>
          <w:rFonts w:hint="eastAsia" w:ascii="仿宋_GB2312" w:eastAsia="仿宋_GB2312"/>
          <w:sz w:val="32"/>
          <w:szCs w:val="32"/>
        </w:rPr>
        <w:t>。</w:t>
      </w:r>
    </w:p>
    <w:p w14:paraId="41C53D43">
      <w:pPr>
        <w:spacing w:line="360" w:lineRule="auto"/>
        <w:ind w:firstLine="630"/>
        <w:rPr>
          <w:rFonts w:eastAsia="仿宋_GB2312"/>
          <w:sz w:val="32"/>
          <w:szCs w:val="32"/>
        </w:rPr>
      </w:pPr>
      <w:r>
        <w:rPr>
          <w:rFonts w:hint="eastAsia" w:ascii="仿宋_GB2312" w:eastAsia="仿宋_GB2312"/>
          <w:b/>
          <w:sz w:val="32"/>
          <w:szCs w:val="32"/>
        </w:rPr>
        <w:t>加快生物天然气技术进步和商业化。</w:t>
      </w:r>
      <w:r>
        <w:rPr>
          <w:rFonts w:hint="eastAsia" w:eastAsia="仿宋_GB2312"/>
          <w:sz w:val="32"/>
          <w:szCs w:val="32"/>
        </w:rPr>
        <w:t>探索专业化投资建设管理模式，形成技术水平较高、安全环保的新型现代化工业门类。建立县域生物天然气开发建设专营机制。加快关键技术进步和工程现代化，建立健全检测、标准、认证体系。培育和创新商业化模式，提高商业化水平。</w:t>
      </w:r>
    </w:p>
    <w:p w14:paraId="16D69090">
      <w:pPr>
        <w:spacing w:line="360" w:lineRule="auto"/>
        <w:ind w:firstLine="630"/>
        <w:rPr>
          <w:rFonts w:eastAsia="仿宋_GB2312"/>
          <w:sz w:val="32"/>
          <w:szCs w:val="32"/>
        </w:rPr>
      </w:pPr>
      <w:r>
        <w:rPr>
          <w:rFonts w:hint="eastAsia" w:ascii="仿宋_GB2312" w:eastAsia="仿宋_GB2312"/>
          <w:b/>
          <w:sz w:val="32"/>
          <w:szCs w:val="32"/>
        </w:rPr>
        <w:t>推进生物天然气有机肥专业化规模化建设。</w:t>
      </w:r>
      <w:r>
        <w:rPr>
          <w:rFonts w:hint="eastAsia" w:eastAsia="仿宋_GB2312"/>
          <w:sz w:val="32"/>
          <w:szCs w:val="32"/>
        </w:rPr>
        <w:t>以生物天然气项目产生的沼渣沼液为原料，建设专业化标准化有机肥项目。优化提升已建有机肥项目，加强关键技术研发与装备制造。创新生物天然气有机肥产供销用模式，促进有机肥大面积推广，减少化肥使用量，促进土壤改良。</w:t>
      </w:r>
    </w:p>
    <w:p w14:paraId="52D63463">
      <w:pPr>
        <w:ind w:firstLine="643" w:firstLineChars="200"/>
        <w:rPr>
          <w:rFonts w:eastAsia="仿宋_GB2312"/>
          <w:sz w:val="32"/>
          <w:szCs w:val="32"/>
        </w:rPr>
      </w:pPr>
      <w:r>
        <w:rPr>
          <w:rFonts w:hint="eastAsia" w:ascii="仿宋_GB2312" w:eastAsia="仿宋_GB2312"/>
          <w:b/>
          <w:sz w:val="32"/>
          <w:szCs w:val="32"/>
        </w:rPr>
        <w:t>建立健全产业体系。</w:t>
      </w:r>
      <w:r>
        <w:rPr>
          <w:rFonts w:hint="eastAsia" w:eastAsia="仿宋_GB2312"/>
          <w:sz w:val="32"/>
          <w:szCs w:val="32"/>
        </w:rPr>
        <w:t>创新原料收集保障模式，形成专业化原料收集保障体系。构建生物天然气多元化消费体系，强化与常规天然气衔接并网，加快生物天然气市场化应用。建立生物天然气有机肥利用体系，促进有机肥高效利用。建立健全全过程环保监管体系，保障产业健康发展。</w:t>
      </w:r>
    </w:p>
    <w:p w14:paraId="6707D2F0">
      <w:pPr>
        <w:ind w:firstLine="640" w:firstLineChars="200"/>
        <w:rPr>
          <w:rFonts w:ascii="仿宋_GB2312" w:eastAsia="仿宋_GB2312"/>
          <w:sz w:val="32"/>
          <w:szCs w:val="32"/>
        </w:rPr>
      </w:pPr>
    </w:p>
    <w:p w14:paraId="54021652">
      <w:pPr>
        <w:spacing w:line="360" w:lineRule="auto"/>
        <w:ind w:firstLine="482" w:firstLineChars="150"/>
        <w:outlineLvl w:val="1"/>
        <w:rPr>
          <w:rFonts w:ascii="黑体" w:hAnsi="黑体" w:eastAsia="黑体"/>
          <w:b/>
          <w:sz w:val="32"/>
          <w:szCs w:val="32"/>
        </w:rPr>
      </w:pPr>
      <w:bookmarkStart w:id="18" w:name="_Toc457378376"/>
      <w:r>
        <w:rPr>
          <w:rFonts w:hint="eastAsia" w:ascii="黑体" w:hAnsi="黑体" w:eastAsia="黑体"/>
          <w:b/>
          <w:sz w:val="32"/>
          <w:szCs w:val="32"/>
        </w:rPr>
        <w:t>（二）积极发展生物质成型燃料供热</w:t>
      </w:r>
      <w:bookmarkEnd w:id="18"/>
    </w:p>
    <w:p w14:paraId="1B5EB99B">
      <w:pPr>
        <w:spacing w:line="360" w:lineRule="auto"/>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b/>
          <w:sz w:val="32"/>
          <w:szCs w:val="32"/>
        </w:rPr>
        <w:t>发展布局</w:t>
      </w:r>
    </w:p>
    <w:p w14:paraId="2F0F55D5">
      <w:pPr>
        <w:spacing w:line="360" w:lineRule="auto"/>
        <w:ind w:firstLine="643"/>
        <w:rPr>
          <w:rFonts w:ascii="仿宋_GB2312" w:eastAsia="仿宋_GB2312"/>
          <w:sz w:val="32"/>
          <w:szCs w:val="32"/>
        </w:rPr>
      </w:pPr>
      <w:r>
        <w:rPr>
          <w:rFonts w:hint="eastAsia" w:ascii="仿宋_GB2312" w:eastAsia="仿宋_GB2312"/>
          <w:sz w:val="32"/>
          <w:szCs w:val="32"/>
        </w:rPr>
        <w:t>在具备资源和市场条件的地区，特别是在大气污染形势严峻、淘汰燃煤锅炉任务较重的京津冀鲁、长三角、珠三角、东北等区域，以及散煤消费较多的农村地区，加快推广生物质成型燃料锅炉供热，为村镇、工业园区及公共和商业设施提供可再生清洁热力。</w:t>
      </w:r>
    </w:p>
    <w:tbl>
      <w:tblPr>
        <w:tblStyle w:val="18"/>
        <w:tblW w:w="90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8"/>
        <w:gridCol w:w="942"/>
        <w:gridCol w:w="1585"/>
        <w:gridCol w:w="2126"/>
        <w:gridCol w:w="1843"/>
        <w:gridCol w:w="1983"/>
      </w:tblGrid>
      <w:tr w14:paraId="6C630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9037" w:type="dxa"/>
            <w:gridSpan w:val="6"/>
            <w:vAlign w:val="center"/>
          </w:tcPr>
          <w:p w14:paraId="6A250084">
            <w:pPr>
              <w:snapToGrid w:val="0"/>
              <w:spacing w:line="360" w:lineRule="auto"/>
              <w:jc w:val="center"/>
              <w:rPr>
                <w:rFonts w:ascii="仿宋_GB2312" w:hAnsi="宋体" w:eastAsia="仿宋_GB2312"/>
                <w:b/>
                <w:sz w:val="24"/>
                <w:szCs w:val="24"/>
              </w:rPr>
            </w:pPr>
            <w:r>
              <w:rPr>
                <w:rFonts w:hint="eastAsia"/>
                <w:b/>
                <w:sz w:val="24"/>
                <w:szCs w:val="24"/>
              </w:rPr>
              <w:t>专栏4  “十三五”全国生物质成型燃料建设布局</w:t>
            </w:r>
          </w:p>
        </w:tc>
      </w:tr>
      <w:tr w14:paraId="6BA54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14:paraId="726E85A9">
            <w:pPr>
              <w:snapToGrid w:val="0"/>
              <w:spacing w:line="360" w:lineRule="auto"/>
              <w:jc w:val="center"/>
              <w:rPr>
                <w:rFonts w:ascii="仿宋_GB2312" w:hAnsi="宋体" w:eastAsia="仿宋_GB2312"/>
                <w:b/>
                <w:sz w:val="24"/>
                <w:szCs w:val="24"/>
              </w:rPr>
            </w:pPr>
            <w:r>
              <w:rPr>
                <w:rFonts w:hint="eastAsia" w:ascii="仿宋_GB2312" w:hAnsi="宋体" w:eastAsia="仿宋_GB2312"/>
                <w:b/>
                <w:sz w:val="24"/>
                <w:szCs w:val="24"/>
              </w:rPr>
              <w:t>序号</w:t>
            </w:r>
          </w:p>
        </w:tc>
        <w:tc>
          <w:tcPr>
            <w:tcW w:w="942" w:type="dxa"/>
            <w:shd w:val="clear" w:color="auto" w:fill="auto"/>
            <w:vAlign w:val="center"/>
          </w:tcPr>
          <w:p w14:paraId="0FE666C1">
            <w:pPr>
              <w:snapToGrid w:val="0"/>
              <w:spacing w:line="360" w:lineRule="auto"/>
              <w:jc w:val="center"/>
              <w:rPr>
                <w:rFonts w:ascii="仿宋_GB2312" w:hAnsi="宋体" w:eastAsia="仿宋_GB2312"/>
                <w:b/>
                <w:sz w:val="24"/>
                <w:szCs w:val="24"/>
              </w:rPr>
            </w:pPr>
            <w:r>
              <w:rPr>
                <w:rFonts w:hint="eastAsia" w:ascii="仿宋_GB2312" w:hAnsi="宋体" w:eastAsia="仿宋_GB2312"/>
                <w:b/>
                <w:sz w:val="24"/>
                <w:szCs w:val="24"/>
              </w:rPr>
              <w:t>重点</w:t>
            </w:r>
          </w:p>
          <w:p w14:paraId="0250747B">
            <w:pPr>
              <w:snapToGrid w:val="0"/>
              <w:spacing w:line="360" w:lineRule="auto"/>
              <w:jc w:val="center"/>
              <w:rPr>
                <w:rFonts w:ascii="仿宋_GB2312" w:hAnsi="宋体" w:eastAsia="仿宋_GB2312"/>
                <w:b/>
                <w:sz w:val="24"/>
                <w:szCs w:val="24"/>
              </w:rPr>
            </w:pPr>
            <w:r>
              <w:rPr>
                <w:rFonts w:hint="eastAsia" w:ascii="仿宋_GB2312" w:hAnsi="宋体" w:eastAsia="仿宋_GB2312"/>
                <w:b/>
                <w:sz w:val="24"/>
                <w:szCs w:val="24"/>
              </w:rPr>
              <w:t>区域</w:t>
            </w:r>
          </w:p>
        </w:tc>
        <w:tc>
          <w:tcPr>
            <w:tcW w:w="1585" w:type="dxa"/>
            <w:shd w:val="clear" w:color="auto" w:fill="auto"/>
            <w:vAlign w:val="center"/>
          </w:tcPr>
          <w:p w14:paraId="032FBF62">
            <w:pPr>
              <w:snapToGrid w:val="0"/>
              <w:spacing w:line="360" w:lineRule="auto"/>
              <w:jc w:val="center"/>
              <w:rPr>
                <w:rFonts w:ascii="仿宋_GB2312" w:hAnsi="宋体" w:eastAsia="仿宋_GB2312"/>
                <w:b/>
                <w:sz w:val="24"/>
                <w:szCs w:val="24"/>
              </w:rPr>
            </w:pPr>
            <w:r>
              <w:rPr>
                <w:rFonts w:hint="eastAsia" w:ascii="仿宋_GB2312" w:hAnsi="宋体" w:eastAsia="仿宋_GB2312"/>
                <w:b/>
                <w:sz w:val="24"/>
                <w:szCs w:val="24"/>
              </w:rPr>
              <w:t>重点省份</w:t>
            </w:r>
          </w:p>
        </w:tc>
        <w:tc>
          <w:tcPr>
            <w:tcW w:w="2126" w:type="dxa"/>
            <w:vAlign w:val="center"/>
          </w:tcPr>
          <w:p w14:paraId="0660D920">
            <w:pPr>
              <w:snapToGrid w:val="0"/>
              <w:spacing w:line="360" w:lineRule="auto"/>
              <w:jc w:val="center"/>
              <w:rPr>
                <w:rFonts w:ascii="仿宋_GB2312" w:hAnsi="宋体" w:eastAsia="仿宋_GB2312"/>
                <w:b/>
                <w:sz w:val="24"/>
                <w:szCs w:val="24"/>
              </w:rPr>
            </w:pPr>
            <w:r>
              <w:rPr>
                <w:rFonts w:hint="eastAsia" w:ascii="仿宋_GB2312" w:hAnsi="宋体" w:eastAsia="仿宋_GB2312"/>
                <w:b/>
                <w:sz w:val="24"/>
                <w:szCs w:val="24"/>
              </w:rPr>
              <w:t>重点</w:t>
            </w:r>
          </w:p>
        </w:tc>
        <w:tc>
          <w:tcPr>
            <w:tcW w:w="1843" w:type="dxa"/>
            <w:vAlign w:val="center"/>
          </w:tcPr>
          <w:p w14:paraId="3B041967">
            <w:pPr>
              <w:snapToGrid w:val="0"/>
              <w:spacing w:line="360" w:lineRule="auto"/>
              <w:jc w:val="center"/>
              <w:rPr>
                <w:rFonts w:ascii="仿宋_GB2312" w:hAnsi="宋体" w:eastAsia="仿宋_GB2312"/>
                <w:b/>
                <w:sz w:val="24"/>
                <w:szCs w:val="24"/>
              </w:rPr>
            </w:pPr>
            <w:r>
              <w:rPr>
                <w:rFonts w:hint="eastAsia" w:ascii="仿宋_GB2312" w:hAnsi="宋体" w:eastAsia="仿宋_GB2312"/>
                <w:b/>
                <w:sz w:val="24"/>
                <w:szCs w:val="24"/>
              </w:rPr>
              <w:t>2020年规划年利用量（万吨）</w:t>
            </w:r>
          </w:p>
        </w:tc>
        <w:tc>
          <w:tcPr>
            <w:tcW w:w="1983" w:type="dxa"/>
            <w:shd w:val="clear" w:color="auto" w:fill="auto"/>
            <w:vAlign w:val="center"/>
          </w:tcPr>
          <w:p w14:paraId="5162D489">
            <w:pPr>
              <w:snapToGrid w:val="0"/>
              <w:spacing w:line="360" w:lineRule="auto"/>
              <w:jc w:val="center"/>
              <w:rPr>
                <w:rFonts w:ascii="仿宋_GB2312" w:hAnsi="宋体" w:eastAsia="仿宋_GB2312"/>
                <w:b/>
                <w:sz w:val="24"/>
                <w:szCs w:val="24"/>
              </w:rPr>
            </w:pPr>
            <w:r>
              <w:rPr>
                <w:rFonts w:hint="eastAsia" w:ascii="仿宋_GB2312" w:hAnsi="宋体" w:eastAsia="仿宋_GB2312"/>
                <w:b/>
                <w:sz w:val="24"/>
                <w:szCs w:val="24"/>
              </w:rPr>
              <w:t>替代煤炭消费量（万吨标准煤）</w:t>
            </w:r>
          </w:p>
        </w:tc>
      </w:tr>
      <w:tr w14:paraId="74F0C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0" w:type="auto"/>
            <w:vAlign w:val="center"/>
          </w:tcPr>
          <w:p w14:paraId="438C333C">
            <w:pPr>
              <w:snapToGrid w:val="0"/>
              <w:jc w:val="center"/>
              <w:rPr>
                <w:rFonts w:ascii="仿宋_GB2312" w:hAnsi="宋体" w:eastAsia="仿宋_GB2312"/>
                <w:sz w:val="24"/>
                <w:szCs w:val="24"/>
              </w:rPr>
            </w:pPr>
            <w:r>
              <w:rPr>
                <w:rFonts w:hint="eastAsia" w:ascii="仿宋_GB2312" w:hAnsi="宋体" w:eastAsia="仿宋_GB2312"/>
                <w:sz w:val="24"/>
                <w:szCs w:val="24"/>
              </w:rPr>
              <w:t>1</w:t>
            </w:r>
          </w:p>
        </w:tc>
        <w:tc>
          <w:tcPr>
            <w:tcW w:w="942" w:type="dxa"/>
            <w:shd w:val="clear" w:color="auto" w:fill="auto"/>
            <w:vAlign w:val="center"/>
          </w:tcPr>
          <w:p w14:paraId="13652B29">
            <w:pPr>
              <w:snapToGrid w:val="0"/>
              <w:jc w:val="center"/>
              <w:rPr>
                <w:rFonts w:ascii="仿宋_GB2312" w:hAnsi="宋体" w:eastAsia="仿宋_GB2312"/>
                <w:sz w:val="24"/>
                <w:szCs w:val="24"/>
              </w:rPr>
            </w:pPr>
            <w:r>
              <w:rPr>
                <w:rFonts w:hint="eastAsia" w:ascii="仿宋_GB2312" w:hAnsi="宋体" w:eastAsia="仿宋_GB2312"/>
                <w:sz w:val="24"/>
                <w:szCs w:val="24"/>
              </w:rPr>
              <w:t>京津</w:t>
            </w:r>
          </w:p>
          <w:p w14:paraId="6823E5F2">
            <w:pPr>
              <w:snapToGrid w:val="0"/>
              <w:jc w:val="center"/>
              <w:rPr>
                <w:rFonts w:ascii="仿宋_GB2312" w:hAnsi="宋体" w:eastAsia="仿宋_GB2312"/>
                <w:sz w:val="24"/>
                <w:szCs w:val="24"/>
              </w:rPr>
            </w:pPr>
            <w:r>
              <w:rPr>
                <w:rFonts w:hint="eastAsia" w:ascii="仿宋_GB2312" w:hAnsi="宋体" w:eastAsia="仿宋_GB2312"/>
                <w:sz w:val="24"/>
                <w:szCs w:val="24"/>
              </w:rPr>
              <w:t>冀鲁</w:t>
            </w:r>
          </w:p>
        </w:tc>
        <w:tc>
          <w:tcPr>
            <w:tcW w:w="1585" w:type="dxa"/>
            <w:shd w:val="clear" w:color="auto" w:fill="auto"/>
            <w:vAlign w:val="center"/>
          </w:tcPr>
          <w:p w14:paraId="32FC8D22">
            <w:pPr>
              <w:snapToGrid w:val="0"/>
              <w:jc w:val="center"/>
              <w:rPr>
                <w:rFonts w:ascii="仿宋_GB2312" w:hAnsi="宋体" w:eastAsia="仿宋_GB2312"/>
                <w:sz w:val="24"/>
                <w:szCs w:val="24"/>
              </w:rPr>
            </w:pPr>
            <w:r>
              <w:rPr>
                <w:rFonts w:hint="eastAsia" w:ascii="仿宋_GB2312" w:hAnsi="宋体" w:eastAsia="仿宋_GB2312"/>
                <w:sz w:val="24"/>
                <w:szCs w:val="24"/>
              </w:rPr>
              <w:t>北京、天津、河北、山东等</w:t>
            </w:r>
          </w:p>
        </w:tc>
        <w:tc>
          <w:tcPr>
            <w:tcW w:w="2126" w:type="dxa"/>
            <w:tcBorders>
              <w:bottom w:val="single" w:color="auto" w:sz="4" w:space="0"/>
            </w:tcBorders>
            <w:vAlign w:val="center"/>
          </w:tcPr>
          <w:p w14:paraId="5BDE6105">
            <w:pPr>
              <w:snapToGrid w:val="0"/>
              <w:jc w:val="center"/>
              <w:rPr>
                <w:rFonts w:ascii="仿宋_GB2312" w:hAnsi="宋体" w:eastAsia="仿宋_GB2312"/>
                <w:sz w:val="24"/>
                <w:szCs w:val="24"/>
              </w:rPr>
            </w:pPr>
            <w:r>
              <w:rPr>
                <w:rFonts w:hint="eastAsia" w:ascii="仿宋_GB2312" w:hAnsi="宋体" w:eastAsia="仿宋_GB2312"/>
                <w:sz w:val="24"/>
                <w:szCs w:val="24"/>
              </w:rPr>
              <w:t>农村居民采暖、工业园区供热、商业设施冷热联供</w:t>
            </w:r>
          </w:p>
        </w:tc>
        <w:tc>
          <w:tcPr>
            <w:tcW w:w="1843" w:type="dxa"/>
            <w:tcBorders>
              <w:bottom w:val="single" w:color="auto" w:sz="4" w:space="0"/>
            </w:tcBorders>
            <w:vAlign w:val="center"/>
          </w:tcPr>
          <w:p w14:paraId="2462A2D2">
            <w:pPr>
              <w:snapToGrid w:val="0"/>
              <w:jc w:val="center"/>
              <w:rPr>
                <w:rFonts w:ascii="仿宋_GB2312" w:hAnsi="宋体" w:eastAsia="仿宋_GB2312"/>
                <w:sz w:val="24"/>
                <w:szCs w:val="24"/>
              </w:rPr>
            </w:pPr>
            <w:r>
              <w:rPr>
                <w:rFonts w:hint="eastAsia" w:ascii="仿宋_GB2312" w:hAnsi="宋体" w:eastAsia="仿宋_GB2312"/>
                <w:sz w:val="24"/>
                <w:szCs w:val="24"/>
              </w:rPr>
              <w:t>600</w:t>
            </w:r>
          </w:p>
        </w:tc>
        <w:tc>
          <w:tcPr>
            <w:tcW w:w="1983" w:type="dxa"/>
            <w:tcBorders>
              <w:bottom w:val="single" w:color="auto" w:sz="4" w:space="0"/>
            </w:tcBorders>
            <w:shd w:val="clear" w:color="auto" w:fill="auto"/>
            <w:vAlign w:val="center"/>
          </w:tcPr>
          <w:p w14:paraId="7A83878F">
            <w:pPr>
              <w:snapToGrid w:val="0"/>
              <w:jc w:val="center"/>
              <w:rPr>
                <w:rFonts w:ascii="仿宋_GB2312" w:hAnsi="宋体" w:eastAsia="仿宋_GB2312"/>
                <w:sz w:val="24"/>
                <w:szCs w:val="24"/>
              </w:rPr>
            </w:pPr>
            <w:r>
              <w:rPr>
                <w:rFonts w:hint="eastAsia" w:ascii="仿宋_GB2312" w:hAnsi="宋体" w:eastAsia="仿宋_GB2312"/>
                <w:sz w:val="24"/>
                <w:szCs w:val="24"/>
              </w:rPr>
              <w:t>300</w:t>
            </w:r>
          </w:p>
        </w:tc>
      </w:tr>
      <w:tr w14:paraId="3C2A4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14:paraId="1DE4627A">
            <w:pPr>
              <w:snapToGrid w:val="0"/>
              <w:jc w:val="center"/>
              <w:rPr>
                <w:rFonts w:ascii="仿宋_GB2312" w:hAnsi="宋体" w:eastAsia="仿宋_GB2312"/>
                <w:sz w:val="24"/>
                <w:szCs w:val="24"/>
              </w:rPr>
            </w:pPr>
            <w:r>
              <w:rPr>
                <w:rFonts w:hint="eastAsia" w:ascii="仿宋_GB2312" w:hAnsi="宋体" w:eastAsia="仿宋_GB2312"/>
                <w:sz w:val="24"/>
                <w:szCs w:val="24"/>
              </w:rPr>
              <w:t>2</w:t>
            </w:r>
          </w:p>
        </w:tc>
        <w:tc>
          <w:tcPr>
            <w:tcW w:w="942" w:type="dxa"/>
            <w:shd w:val="clear" w:color="auto" w:fill="auto"/>
            <w:vAlign w:val="center"/>
          </w:tcPr>
          <w:p w14:paraId="39921744">
            <w:pPr>
              <w:snapToGrid w:val="0"/>
              <w:jc w:val="center"/>
              <w:rPr>
                <w:rFonts w:ascii="仿宋_GB2312" w:hAnsi="宋体" w:eastAsia="仿宋_GB2312"/>
                <w:sz w:val="24"/>
                <w:szCs w:val="24"/>
              </w:rPr>
            </w:pPr>
            <w:r>
              <w:rPr>
                <w:rFonts w:hint="eastAsia" w:ascii="仿宋_GB2312" w:hAnsi="宋体" w:eastAsia="仿宋_GB2312"/>
                <w:sz w:val="24"/>
                <w:szCs w:val="24"/>
              </w:rPr>
              <w:t>长三角</w:t>
            </w:r>
          </w:p>
        </w:tc>
        <w:tc>
          <w:tcPr>
            <w:tcW w:w="1585" w:type="dxa"/>
            <w:shd w:val="clear" w:color="auto" w:fill="auto"/>
            <w:vAlign w:val="center"/>
          </w:tcPr>
          <w:p w14:paraId="7F87B8E5">
            <w:pPr>
              <w:snapToGrid w:val="0"/>
              <w:jc w:val="center"/>
              <w:rPr>
                <w:rFonts w:ascii="仿宋_GB2312" w:hAnsi="宋体" w:eastAsia="仿宋_GB2312"/>
                <w:sz w:val="24"/>
                <w:szCs w:val="24"/>
              </w:rPr>
            </w:pPr>
            <w:r>
              <w:rPr>
                <w:rFonts w:hint="eastAsia" w:ascii="仿宋_GB2312" w:hAnsi="宋体" w:eastAsia="仿宋_GB2312"/>
                <w:sz w:val="24"/>
                <w:szCs w:val="24"/>
              </w:rPr>
              <w:t xml:space="preserve"> 上海、江苏、浙江、安徽等</w:t>
            </w:r>
          </w:p>
        </w:tc>
        <w:tc>
          <w:tcPr>
            <w:tcW w:w="2126" w:type="dxa"/>
            <w:tcBorders>
              <w:top w:val="single" w:color="auto" w:sz="4" w:space="0"/>
              <w:left w:val="single" w:color="auto" w:sz="4" w:space="0"/>
              <w:bottom w:val="single" w:color="auto" w:sz="4" w:space="0"/>
              <w:right w:val="single" w:color="auto" w:sz="4" w:space="0"/>
            </w:tcBorders>
            <w:vAlign w:val="center"/>
          </w:tcPr>
          <w:p w14:paraId="03722053">
            <w:pPr>
              <w:snapToGrid w:val="0"/>
              <w:jc w:val="center"/>
              <w:rPr>
                <w:rFonts w:ascii="仿宋_GB2312" w:hAnsi="宋体" w:eastAsia="仿宋_GB2312"/>
                <w:sz w:val="24"/>
                <w:szCs w:val="24"/>
              </w:rPr>
            </w:pPr>
            <w:r>
              <w:rPr>
                <w:rFonts w:hint="eastAsia" w:ascii="仿宋_GB2312" w:hAnsi="宋体" w:eastAsia="仿宋_GB2312"/>
                <w:sz w:val="24"/>
                <w:szCs w:val="24"/>
              </w:rPr>
              <w:t>工业园区供热、商业设施冷热联供</w:t>
            </w:r>
          </w:p>
        </w:tc>
        <w:tc>
          <w:tcPr>
            <w:tcW w:w="1843" w:type="dxa"/>
            <w:tcBorders>
              <w:top w:val="single" w:color="auto" w:sz="4" w:space="0"/>
              <w:left w:val="single" w:color="auto" w:sz="4" w:space="0"/>
              <w:bottom w:val="single" w:color="auto" w:sz="4" w:space="0"/>
              <w:right w:val="single" w:color="auto" w:sz="4" w:space="0"/>
            </w:tcBorders>
            <w:vAlign w:val="center"/>
          </w:tcPr>
          <w:p w14:paraId="206FB923">
            <w:pPr>
              <w:snapToGrid w:val="0"/>
              <w:jc w:val="center"/>
              <w:rPr>
                <w:rFonts w:ascii="仿宋_GB2312" w:hAnsi="宋体" w:eastAsia="仿宋_GB2312"/>
                <w:sz w:val="24"/>
                <w:szCs w:val="24"/>
              </w:rPr>
            </w:pPr>
            <w:r>
              <w:rPr>
                <w:rFonts w:hint="eastAsia" w:ascii="仿宋_GB2312" w:hAnsi="宋体" w:eastAsia="仿宋_GB2312"/>
                <w:sz w:val="24"/>
                <w:szCs w:val="24"/>
              </w:rPr>
              <w:t>600</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86E1346">
            <w:pPr>
              <w:snapToGrid w:val="0"/>
              <w:jc w:val="center"/>
              <w:rPr>
                <w:rFonts w:ascii="仿宋_GB2312" w:hAnsi="宋体" w:eastAsia="仿宋_GB2312"/>
                <w:sz w:val="24"/>
                <w:szCs w:val="24"/>
              </w:rPr>
            </w:pPr>
            <w:r>
              <w:rPr>
                <w:rFonts w:hint="eastAsia" w:ascii="仿宋_GB2312" w:hAnsi="宋体" w:eastAsia="仿宋_GB2312"/>
                <w:sz w:val="24"/>
                <w:szCs w:val="24"/>
              </w:rPr>
              <w:t>300</w:t>
            </w:r>
          </w:p>
        </w:tc>
      </w:tr>
      <w:tr w14:paraId="28646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14:paraId="6EFABD91">
            <w:pPr>
              <w:snapToGrid w:val="0"/>
              <w:jc w:val="center"/>
              <w:rPr>
                <w:rFonts w:ascii="仿宋_GB2312" w:hAnsi="宋体" w:eastAsia="仿宋_GB2312"/>
                <w:sz w:val="24"/>
                <w:szCs w:val="24"/>
              </w:rPr>
            </w:pPr>
            <w:r>
              <w:rPr>
                <w:rFonts w:hint="eastAsia" w:ascii="仿宋_GB2312" w:hAnsi="宋体" w:eastAsia="仿宋_GB2312"/>
                <w:sz w:val="24"/>
                <w:szCs w:val="24"/>
              </w:rPr>
              <w:t>3</w:t>
            </w:r>
          </w:p>
        </w:tc>
        <w:tc>
          <w:tcPr>
            <w:tcW w:w="942" w:type="dxa"/>
            <w:shd w:val="clear" w:color="auto" w:fill="auto"/>
            <w:vAlign w:val="center"/>
          </w:tcPr>
          <w:p w14:paraId="0E25A56D">
            <w:pPr>
              <w:snapToGrid w:val="0"/>
              <w:jc w:val="center"/>
              <w:rPr>
                <w:rFonts w:ascii="仿宋_GB2312" w:hAnsi="宋体" w:eastAsia="仿宋_GB2312"/>
                <w:sz w:val="24"/>
                <w:szCs w:val="24"/>
              </w:rPr>
            </w:pPr>
            <w:r>
              <w:rPr>
                <w:rFonts w:hint="eastAsia" w:ascii="仿宋_GB2312" w:hAnsi="宋体" w:eastAsia="仿宋_GB2312"/>
                <w:sz w:val="24"/>
                <w:szCs w:val="24"/>
              </w:rPr>
              <w:t>珠三角</w:t>
            </w:r>
          </w:p>
        </w:tc>
        <w:tc>
          <w:tcPr>
            <w:tcW w:w="1585" w:type="dxa"/>
            <w:shd w:val="clear" w:color="auto" w:fill="auto"/>
            <w:vAlign w:val="center"/>
          </w:tcPr>
          <w:p w14:paraId="34FEF280">
            <w:pPr>
              <w:snapToGrid w:val="0"/>
              <w:jc w:val="center"/>
              <w:rPr>
                <w:rFonts w:ascii="仿宋_GB2312" w:hAnsi="宋体" w:eastAsia="仿宋_GB2312"/>
                <w:sz w:val="24"/>
                <w:szCs w:val="24"/>
              </w:rPr>
            </w:pPr>
            <w:r>
              <w:rPr>
                <w:rFonts w:hint="eastAsia" w:ascii="仿宋_GB2312" w:hAnsi="宋体" w:eastAsia="仿宋_GB2312"/>
                <w:sz w:val="24"/>
                <w:szCs w:val="24"/>
              </w:rPr>
              <w:t>广东等</w:t>
            </w:r>
          </w:p>
        </w:tc>
        <w:tc>
          <w:tcPr>
            <w:tcW w:w="2126" w:type="dxa"/>
            <w:tcBorders>
              <w:top w:val="single" w:color="auto" w:sz="4" w:space="0"/>
            </w:tcBorders>
            <w:vAlign w:val="center"/>
          </w:tcPr>
          <w:p w14:paraId="26F36936">
            <w:pPr>
              <w:snapToGrid w:val="0"/>
              <w:jc w:val="center"/>
              <w:rPr>
                <w:rFonts w:ascii="仿宋_GB2312" w:hAnsi="宋体" w:eastAsia="仿宋_GB2312"/>
                <w:sz w:val="24"/>
                <w:szCs w:val="24"/>
              </w:rPr>
            </w:pPr>
            <w:r>
              <w:rPr>
                <w:rFonts w:hint="eastAsia" w:ascii="仿宋_GB2312" w:hAnsi="宋体" w:eastAsia="仿宋_GB2312"/>
                <w:sz w:val="24"/>
                <w:szCs w:val="24"/>
              </w:rPr>
              <w:t>工业园区供热、商业设施冷热联供</w:t>
            </w:r>
          </w:p>
        </w:tc>
        <w:tc>
          <w:tcPr>
            <w:tcW w:w="1843" w:type="dxa"/>
            <w:tcBorders>
              <w:top w:val="single" w:color="auto" w:sz="4" w:space="0"/>
            </w:tcBorders>
            <w:vAlign w:val="center"/>
          </w:tcPr>
          <w:p w14:paraId="2E143E2C">
            <w:pPr>
              <w:snapToGrid w:val="0"/>
              <w:jc w:val="center"/>
              <w:rPr>
                <w:rFonts w:ascii="仿宋_GB2312" w:hAnsi="宋体" w:eastAsia="仿宋_GB2312"/>
                <w:sz w:val="24"/>
                <w:szCs w:val="24"/>
              </w:rPr>
            </w:pPr>
            <w:r>
              <w:rPr>
                <w:rFonts w:hint="eastAsia" w:ascii="仿宋_GB2312" w:hAnsi="宋体" w:eastAsia="仿宋_GB2312"/>
                <w:sz w:val="24"/>
                <w:szCs w:val="24"/>
              </w:rPr>
              <w:t>450</w:t>
            </w:r>
          </w:p>
        </w:tc>
        <w:tc>
          <w:tcPr>
            <w:tcW w:w="1983" w:type="dxa"/>
            <w:tcBorders>
              <w:top w:val="single" w:color="auto" w:sz="4" w:space="0"/>
            </w:tcBorders>
            <w:shd w:val="clear" w:color="auto" w:fill="auto"/>
            <w:vAlign w:val="center"/>
          </w:tcPr>
          <w:p w14:paraId="35BD5636">
            <w:pPr>
              <w:snapToGrid w:val="0"/>
              <w:jc w:val="center"/>
              <w:rPr>
                <w:rFonts w:ascii="仿宋_GB2312" w:hAnsi="宋体" w:eastAsia="仿宋_GB2312"/>
                <w:sz w:val="24"/>
                <w:szCs w:val="24"/>
              </w:rPr>
            </w:pPr>
            <w:r>
              <w:rPr>
                <w:rFonts w:hint="eastAsia" w:ascii="仿宋_GB2312" w:hAnsi="宋体" w:eastAsia="仿宋_GB2312"/>
                <w:sz w:val="24"/>
                <w:szCs w:val="24"/>
              </w:rPr>
              <w:t>225</w:t>
            </w:r>
          </w:p>
        </w:tc>
      </w:tr>
      <w:tr w14:paraId="574AF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14:paraId="01320C7F">
            <w:pPr>
              <w:snapToGrid w:val="0"/>
              <w:jc w:val="center"/>
              <w:rPr>
                <w:rFonts w:ascii="仿宋_GB2312" w:hAnsi="宋体" w:eastAsia="仿宋_GB2312"/>
                <w:sz w:val="24"/>
                <w:szCs w:val="24"/>
              </w:rPr>
            </w:pPr>
            <w:r>
              <w:rPr>
                <w:rFonts w:hint="eastAsia" w:ascii="仿宋_GB2312" w:hAnsi="宋体" w:eastAsia="仿宋_GB2312"/>
                <w:sz w:val="24"/>
                <w:szCs w:val="24"/>
              </w:rPr>
              <w:t>4</w:t>
            </w:r>
          </w:p>
        </w:tc>
        <w:tc>
          <w:tcPr>
            <w:tcW w:w="942" w:type="dxa"/>
            <w:shd w:val="clear" w:color="auto" w:fill="auto"/>
            <w:vAlign w:val="center"/>
          </w:tcPr>
          <w:p w14:paraId="67B31B72">
            <w:pPr>
              <w:snapToGrid w:val="0"/>
              <w:jc w:val="center"/>
              <w:rPr>
                <w:rFonts w:ascii="仿宋_GB2312" w:hAnsi="宋体" w:eastAsia="仿宋_GB2312"/>
                <w:sz w:val="24"/>
                <w:szCs w:val="24"/>
              </w:rPr>
            </w:pPr>
            <w:r>
              <w:rPr>
                <w:rFonts w:hint="eastAsia" w:ascii="仿宋_GB2312" w:hAnsi="宋体" w:eastAsia="仿宋_GB2312"/>
                <w:sz w:val="24"/>
                <w:szCs w:val="24"/>
              </w:rPr>
              <w:t>东北</w:t>
            </w:r>
          </w:p>
        </w:tc>
        <w:tc>
          <w:tcPr>
            <w:tcW w:w="1585" w:type="dxa"/>
            <w:shd w:val="clear" w:color="auto" w:fill="auto"/>
            <w:vAlign w:val="center"/>
          </w:tcPr>
          <w:p w14:paraId="56A92962">
            <w:pPr>
              <w:snapToGrid w:val="0"/>
              <w:jc w:val="center"/>
              <w:rPr>
                <w:rFonts w:ascii="仿宋_GB2312" w:hAnsi="宋体" w:eastAsia="仿宋_GB2312"/>
                <w:sz w:val="24"/>
                <w:szCs w:val="24"/>
              </w:rPr>
            </w:pPr>
            <w:r>
              <w:rPr>
                <w:rFonts w:hint="eastAsia" w:ascii="仿宋_GB2312" w:hAnsi="宋体" w:eastAsia="仿宋_GB2312"/>
                <w:sz w:val="24"/>
                <w:szCs w:val="24"/>
              </w:rPr>
              <w:t>辽宁、吉林、黑龙江</w:t>
            </w:r>
          </w:p>
        </w:tc>
        <w:tc>
          <w:tcPr>
            <w:tcW w:w="2126" w:type="dxa"/>
            <w:tcBorders>
              <w:top w:val="single" w:color="auto" w:sz="4" w:space="0"/>
            </w:tcBorders>
            <w:vAlign w:val="center"/>
          </w:tcPr>
          <w:p w14:paraId="6B5D5804">
            <w:pPr>
              <w:snapToGrid w:val="0"/>
              <w:jc w:val="center"/>
              <w:rPr>
                <w:rFonts w:ascii="仿宋_GB2312" w:hAnsi="宋体" w:eastAsia="仿宋_GB2312"/>
                <w:sz w:val="24"/>
                <w:szCs w:val="24"/>
              </w:rPr>
            </w:pPr>
            <w:r>
              <w:rPr>
                <w:rFonts w:hint="eastAsia" w:ascii="仿宋_GB2312" w:hAnsi="宋体" w:eastAsia="仿宋_GB2312"/>
                <w:sz w:val="24"/>
                <w:szCs w:val="24"/>
              </w:rPr>
              <w:t>农村居民采暖、工业园区供热、商业设施冷热联供</w:t>
            </w:r>
          </w:p>
        </w:tc>
        <w:tc>
          <w:tcPr>
            <w:tcW w:w="1843" w:type="dxa"/>
            <w:tcBorders>
              <w:top w:val="single" w:color="auto" w:sz="4" w:space="0"/>
            </w:tcBorders>
            <w:vAlign w:val="center"/>
          </w:tcPr>
          <w:p w14:paraId="180BD69A">
            <w:pPr>
              <w:snapToGrid w:val="0"/>
              <w:jc w:val="center"/>
              <w:rPr>
                <w:rFonts w:ascii="仿宋_GB2312" w:hAnsi="宋体" w:eastAsia="仿宋_GB2312"/>
                <w:sz w:val="24"/>
                <w:szCs w:val="24"/>
              </w:rPr>
            </w:pPr>
            <w:r>
              <w:rPr>
                <w:rFonts w:hint="eastAsia" w:ascii="仿宋_GB2312" w:hAnsi="宋体" w:eastAsia="仿宋_GB2312"/>
                <w:sz w:val="24"/>
                <w:szCs w:val="24"/>
              </w:rPr>
              <w:t>450</w:t>
            </w:r>
          </w:p>
        </w:tc>
        <w:tc>
          <w:tcPr>
            <w:tcW w:w="1983" w:type="dxa"/>
            <w:tcBorders>
              <w:top w:val="single" w:color="auto" w:sz="4" w:space="0"/>
            </w:tcBorders>
            <w:shd w:val="clear" w:color="auto" w:fill="auto"/>
            <w:vAlign w:val="center"/>
          </w:tcPr>
          <w:p w14:paraId="473ECF1B">
            <w:pPr>
              <w:snapToGrid w:val="0"/>
              <w:jc w:val="center"/>
              <w:rPr>
                <w:rFonts w:ascii="仿宋_GB2312" w:hAnsi="宋体" w:eastAsia="仿宋_GB2312"/>
                <w:sz w:val="24"/>
                <w:szCs w:val="24"/>
              </w:rPr>
            </w:pPr>
            <w:r>
              <w:rPr>
                <w:rFonts w:hint="eastAsia" w:ascii="仿宋_GB2312" w:hAnsi="宋体" w:eastAsia="仿宋_GB2312"/>
                <w:sz w:val="24"/>
                <w:szCs w:val="24"/>
              </w:rPr>
              <w:t>225</w:t>
            </w:r>
          </w:p>
        </w:tc>
      </w:tr>
      <w:tr w14:paraId="20DAD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14:paraId="72B13529">
            <w:pPr>
              <w:snapToGrid w:val="0"/>
              <w:jc w:val="center"/>
              <w:rPr>
                <w:rFonts w:ascii="仿宋_GB2312" w:hAnsi="宋体" w:eastAsia="仿宋_GB2312"/>
                <w:sz w:val="24"/>
                <w:szCs w:val="24"/>
              </w:rPr>
            </w:pPr>
            <w:r>
              <w:rPr>
                <w:rFonts w:hint="eastAsia" w:ascii="仿宋_GB2312" w:hAnsi="宋体" w:eastAsia="仿宋_GB2312"/>
                <w:sz w:val="24"/>
                <w:szCs w:val="24"/>
              </w:rPr>
              <w:t>5</w:t>
            </w:r>
          </w:p>
        </w:tc>
        <w:tc>
          <w:tcPr>
            <w:tcW w:w="942" w:type="dxa"/>
            <w:shd w:val="clear" w:color="auto" w:fill="auto"/>
            <w:vAlign w:val="center"/>
          </w:tcPr>
          <w:p w14:paraId="03A7AE17">
            <w:pPr>
              <w:snapToGrid w:val="0"/>
              <w:jc w:val="center"/>
              <w:rPr>
                <w:rFonts w:ascii="仿宋_GB2312" w:hAnsi="宋体" w:eastAsia="仿宋_GB2312"/>
                <w:sz w:val="24"/>
                <w:szCs w:val="24"/>
              </w:rPr>
            </w:pPr>
            <w:r>
              <w:rPr>
                <w:rFonts w:hint="eastAsia" w:ascii="仿宋_GB2312" w:hAnsi="宋体" w:eastAsia="仿宋_GB2312"/>
                <w:sz w:val="24"/>
                <w:szCs w:val="24"/>
              </w:rPr>
              <w:t>中东部</w:t>
            </w:r>
          </w:p>
        </w:tc>
        <w:tc>
          <w:tcPr>
            <w:tcW w:w="1585" w:type="dxa"/>
            <w:shd w:val="clear" w:color="auto" w:fill="auto"/>
            <w:vAlign w:val="center"/>
          </w:tcPr>
          <w:p w14:paraId="7487EB3A">
            <w:pPr>
              <w:snapToGrid w:val="0"/>
              <w:jc w:val="center"/>
              <w:rPr>
                <w:rFonts w:ascii="仿宋_GB2312" w:hAnsi="宋体" w:eastAsia="仿宋_GB2312"/>
                <w:sz w:val="24"/>
                <w:szCs w:val="24"/>
              </w:rPr>
            </w:pPr>
            <w:r>
              <w:rPr>
                <w:rFonts w:hint="eastAsia" w:ascii="仿宋_GB2312" w:hAnsi="宋体" w:eastAsia="仿宋_GB2312"/>
                <w:sz w:val="24"/>
                <w:szCs w:val="24"/>
              </w:rPr>
              <w:t>江西、河南、湖北、湖南等</w:t>
            </w:r>
          </w:p>
        </w:tc>
        <w:tc>
          <w:tcPr>
            <w:tcW w:w="2126" w:type="dxa"/>
            <w:vAlign w:val="center"/>
          </w:tcPr>
          <w:p w14:paraId="5FA9A608">
            <w:pPr>
              <w:snapToGrid w:val="0"/>
              <w:jc w:val="center"/>
              <w:rPr>
                <w:rFonts w:ascii="仿宋_GB2312" w:hAnsi="宋体" w:eastAsia="仿宋_GB2312"/>
                <w:sz w:val="24"/>
                <w:szCs w:val="24"/>
              </w:rPr>
            </w:pPr>
            <w:r>
              <w:rPr>
                <w:rFonts w:hint="eastAsia" w:ascii="仿宋_GB2312" w:hAnsi="宋体" w:eastAsia="仿宋_GB2312"/>
                <w:sz w:val="24"/>
                <w:szCs w:val="24"/>
              </w:rPr>
              <w:t>工业园区供热、商业设施冷热联供</w:t>
            </w:r>
          </w:p>
        </w:tc>
        <w:tc>
          <w:tcPr>
            <w:tcW w:w="1843" w:type="dxa"/>
            <w:vAlign w:val="center"/>
          </w:tcPr>
          <w:p w14:paraId="7231A5B4">
            <w:pPr>
              <w:snapToGrid w:val="0"/>
              <w:jc w:val="center"/>
              <w:rPr>
                <w:rFonts w:ascii="仿宋_GB2312" w:hAnsi="宋体" w:eastAsia="仿宋_GB2312"/>
                <w:sz w:val="24"/>
                <w:szCs w:val="24"/>
              </w:rPr>
            </w:pPr>
            <w:r>
              <w:rPr>
                <w:rFonts w:hint="eastAsia" w:ascii="仿宋_GB2312" w:hAnsi="宋体" w:eastAsia="仿宋_GB2312"/>
                <w:sz w:val="24"/>
                <w:szCs w:val="24"/>
              </w:rPr>
              <w:t>900</w:t>
            </w:r>
          </w:p>
        </w:tc>
        <w:tc>
          <w:tcPr>
            <w:tcW w:w="1983" w:type="dxa"/>
            <w:shd w:val="clear" w:color="auto" w:fill="auto"/>
            <w:vAlign w:val="center"/>
          </w:tcPr>
          <w:p w14:paraId="2B3CEFC2">
            <w:pPr>
              <w:snapToGrid w:val="0"/>
              <w:jc w:val="center"/>
              <w:rPr>
                <w:rFonts w:ascii="仿宋_GB2312" w:hAnsi="宋体" w:eastAsia="仿宋_GB2312"/>
                <w:sz w:val="24"/>
                <w:szCs w:val="24"/>
              </w:rPr>
            </w:pPr>
            <w:r>
              <w:rPr>
                <w:rFonts w:hint="eastAsia" w:ascii="仿宋_GB2312" w:hAnsi="宋体" w:eastAsia="仿宋_GB2312"/>
                <w:sz w:val="24"/>
                <w:szCs w:val="24"/>
              </w:rPr>
              <w:t>450</w:t>
            </w:r>
          </w:p>
        </w:tc>
      </w:tr>
      <w:tr w14:paraId="60945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14:paraId="31FAFB58">
            <w:pPr>
              <w:snapToGrid w:val="0"/>
              <w:jc w:val="center"/>
              <w:rPr>
                <w:rFonts w:ascii="仿宋_GB2312" w:hAnsi="宋体" w:eastAsia="仿宋_GB2312"/>
                <w:b/>
                <w:sz w:val="24"/>
                <w:szCs w:val="24"/>
              </w:rPr>
            </w:pPr>
            <w:r>
              <w:rPr>
                <w:rFonts w:hint="eastAsia" w:ascii="仿宋_GB2312" w:hAnsi="宋体" w:eastAsia="仿宋_GB2312"/>
                <w:b/>
                <w:sz w:val="24"/>
                <w:szCs w:val="24"/>
              </w:rPr>
              <w:t>6</w:t>
            </w:r>
          </w:p>
        </w:tc>
        <w:tc>
          <w:tcPr>
            <w:tcW w:w="4653" w:type="dxa"/>
            <w:gridSpan w:val="3"/>
            <w:shd w:val="clear" w:color="auto" w:fill="auto"/>
            <w:vAlign w:val="center"/>
          </w:tcPr>
          <w:p w14:paraId="4DA0642D">
            <w:pPr>
              <w:snapToGrid w:val="0"/>
              <w:jc w:val="center"/>
              <w:rPr>
                <w:rFonts w:ascii="仿宋_GB2312" w:hAnsi="宋体" w:eastAsia="仿宋_GB2312"/>
                <w:b/>
                <w:sz w:val="24"/>
                <w:szCs w:val="24"/>
              </w:rPr>
            </w:pPr>
            <w:r>
              <w:rPr>
                <w:rFonts w:hint="eastAsia" w:ascii="仿宋_GB2312" w:hAnsi="宋体" w:eastAsia="仿宋_GB2312"/>
                <w:b/>
                <w:sz w:val="24"/>
                <w:szCs w:val="24"/>
              </w:rPr>
              <w:t>总计</w:t>
            </w:r>
          </w:p>
        </w:tc>
        <w:tc>
          <w:tcPr>
            <w:tcW w:w="1843" w:type="dxa"/>
            <w:vAlign w:val="center"/>
          </w:tcPr>
          <w:p w14:paraId="01B834E4">
            <w:pPr>
              <w:snapToGrid w:val="0"/>
              <w:jc w:val="center"/>
              <w:rPr>
                <w:rFonts w:ascii="仿宋_GB2312" w:hAnsi="宋体" w:eastAsia="仿宋_GB2312"/>
                <w:b/>
                <w:sz w:val="24"/>
                <w:szCs w:val="24"/>
              </w:rPr>
            </w:pPr>
            <w:r>
              <w:rPr>
                <w:rFonts w:hint="eastAsia" w:ascii="仿宋_GB2312" w:hAnsi="宋体" w:eastAsia="仿宋_GB2312"/>
                <w:b/>
                <w:sz w:val="24"/>
                <w:szCs w:val="24"/>
              </w:rPr>
              <w:t>3000</w:t>
            </w:r>
          </w:p>
        </w:tc>
        <w:tc>
          <w:tcPr>
            <w:tcW w:w="1983" w:type="dxa"/>
            <w:shd w:val="clear" w:color="auto" w:fill="auto"/>
            <w:vAlign w:val="center"/>
          </w:tcPr>
          <w:p w14:paraId="5F011642">
            <w:pPr>
              <w:snapToGrid w:val="0"/>
              <w:jc w:val="center"/>
              <w:rPr>
                <w:rFonts w:ascii="仿宋_GB2312" w:hAnsi="宋体" w:eastAsia="仿宋_GB2312"/>
                <w:b/>
                <w:sz w:val="24"/>
                <w:szCs w:val="24"/>
              </w:rPr>
            </w:pPr>
            <w:r>
              <w:rPr>
                <w:rFonts w:hint="eastAsia" w:ascii="仿宋_GB2312" w:hAnsi="宋体" w:eastAsia="仿宋_GB2312"/>
                <w:b/>
                <w:sz w:val="24"/>
                <w:szCs w:val="24"/>
              </w:rPr>
              <w:t>1500</w:t>
            </w:r>
          </w:p>
        </w:tc>
      </w:tr>
    </w:tbl>
    <w:p w14:paraId="5A9ED946">
      <w:pPr>
        <w:spacing w:line="360" w:lineRule="auto"/>
        <w:ind w:firstLine="643" w:firstLineChars="200"/>
        <w:rPr>
          <w:rFonts w:ascii="仿宋_GB2312" w:eastAsia="仿宋_GB2312"/>
          <w:b/>
          <w:sz w:val="32"/>
          <w:szCs w:val="32"/>
        </w:rPr>
      </w:pPr>
      <w:r>
        <w:rPr>
          <w:rFonts w:hint="eastAsia" w:ascii="仿宋_GB2312" w:eastAsia="仿宋_GB2312"/>
          <w:b/>
          <w:sz w:val="32"/>
          <w:szCs w:val="32"/>
        </w:rPr>
        <w:t>2、建设重点</w:t>
      </w:r>
    </w:p>
    <w:p w14:paraId="64B46E74">
      <w:pPr>
        <w:spacing w:line="360" w:lineRule="auto"/>
        <w:ind w:firstLine="643" w:firstLineChars="200"/>
        <w:rPr>
          <w:rFonts w:ascii="仿宋_GB2312" w:eastAsia="仿宋_GB2312"/>
          <w:sz w:val="32"/>
          <w:szCs w:val="32"/>
        </w:rPr>
      </w:pPr>
      <w:r>
        <w:rPr>
          <w:rFonts w:hint="eastAsia" w:ascii="仿宋_GB2312" w:eastAsia="仿宋_GB2312"/>
          <w:b/>
          <w:sz w:val="32"/>
          <w:szCs w:val="32"/>
        </w:rPr>
        <w:t>积极推动生物质成型燃料在商业设施与居民采暖中的应用。</w:t>
      </w:r>
      <w:r>
        <w:rPr>
          <w:rFonts w:hint="eastAsia" w:ascii="仿宋_GB2312" w:eastAsia="仿宋_GB2312"/>
          <w:sz w:val="32"/>
          <w:szCs w:val="32"/>
        </w:rPr>
        <w:t>结合当地关停燃煤锅炉进程，发挥生物质成型燃料锅炉供热面向用户侧布局灵活、负荷响应能力较强的特点，以供热水、供蒸汽、冷热联供等方式，积极推动在城镇商业设施及公共设施中的应用。结合农村散煤治理，在政策支持下，推进生物质成型燃料在农村炊事采暖中的应用。</w:t>
      </w:r>
    </w:p>
    <w:p w14:paraId="282647FF">
      <w:pPr>
        <w:spacing w:line="360" w:lineRule="auto"/>
        <w:ind w:firstLine="643" w:firstLineChars="200"/>
        <w:rPr>
          <w:rFonts w:ascii="仿宋_GB2312" w:eastAsia="仿宋_GB2312"/>
          <w:sz w:val="32"/>
          <w:szCs w:val="32"/>
        </w:rPr>
      </w:pPr>
      <w:r>
        <w:rPr>
          <w:rFonts w:hint="eastAsia" w:ascii="仿宋_GB2312" w:eastAsia="仿宋_GB2312"/>
          <w:b/>
          <w:sz w:val="32"/>
          <w:szCs w:val="32"/>
        </w:rPr>
        <w:t>加快大型先进低排放生物质成型燃料锅炉供热项目建设。</w:t>
      </w:r>
      <w:r>
        <w:rPr>
          <w:rFonts w:hint="eastAsia" w:ascii="仿宋_GB2312" w:eastAsia="仿宋_GB2312"/>
          <w:sz w:val="32"/>
          <w:szCs w:val="32"/>
        </w:rPr>
        <w:t>发挥成型燃料含硫量低的特点，在工业园区大力推进20蒸吨/小时以上低排放生物质成型燃料锅炉供热项目建设，污染物排放达到天然气水平，烟尘、二氧化硫、氮氧化物排放量不高于20㎎/m</w:t>
      </w:r>
      <w:r>
        <w:rPr>
          <w:rFonts w:hint="eastAsia" w:ascii="仿宋_GB2312" w:eastAsia="仿宋_GB2312"/>
          <w:sz w:val="32"/>
          <w:szCs w:val="32"/>
          <w:vertAlign w:val="superscript"/>
        </w:rPr>
        <w:t>3</w:t>
      </w:r>
      <w:r>
        <w:rPr>
          <w:rFonts w:hint="eastAsia" w:ascii="仿宋_GB2312" w:eastAsia="仿宋_GB2312"/>
          <w:sz w:val="32"/>
          <w:szCs w:val="32"/>
        </w:rPr>
        <w:t>、50㎎/m</w:t>
      </w:r>
      <w:r>
        <w:rPr>
          <w:rFonts w:hint="eastAsia" w:ascii="仿宋_GB2312" w:eastAsia="仿宋_GB2312"/>
          <w:sz w:val="32"/>
          <w:szCs w:val="32"/>
          <w:vertAlign w:val="superscript"/>
        </w:rPr>
        <w:t>3</w:t>
      </w:r>
      <w:r>
        <w:rPr>
          <w:rFonts w:hint="eastAsia" w:ascii="仿宋_GB2312" w:eastAsia="仿宋_GB2312"/>
          <w:sz w:val="32"/>
          <w:szCs w:val="32"/>
        </w:rPr>
        <w:t>、200㎎/m</w:t>
      </w:r>
      <w:r>
        <w:rPr>
          <w:rFonts w:hint="eastAsia" w:ascii="仿宋_GB2312" w:eastAsia="仿宋_GB2312"/>
          <w:sz w:val="32"/>
          <w:szCs w:val="32"/>
          <w:vertAlign w:val="superscript"/>
        </w:rPr>
        <w:t>3</w:t>
      </w:r>
      <w:r>
        <w:rPr>
          <w:rFonts w:hint="eastAsia" w:ascii="仿宋_GB2312" w:eastAsia="仿宋_GB2312"/>
          <w:sz w:val="32"/>
          <w:szCs w:val="32"/>
        </w:rPr>
        <w:t>，替代燃煤锅炉供热。建成一批以生物质成型燃料供热为主的工业园区。</w:t>
      </w:r>
    </w:p>
    <w:p w14:paraId="6905F08A">
      <w:pPr>
        <w:spacing w:line="360" w:lineRule="auto"/>
        <w:ind w:firstLine="640"/>
        <w:rPr>
          <w:rFonts w:ascii="仿宋_GB2312" w:eastAsia="仿宋_GB2312"/>
          <w:sz w:val="32"/>
          <w:szCs w:val="32"/>
        </w:rPr>
      </w:pPr>
      <w:r>
        <w:rPr>
          <w:rFonts w:hint="eastAsia" w:ascii="仿宋_GB2312" w:eastAsia="仿宋_GB2312"/>
          <w:b/>
          <w:sz w:val="32"/>
          <w:szCs w:val="32"/>
        </w:rPr>
        <w:t>加强技术进步和标准体系建设。</w:t>
      </w:r>
      <w:r>
        <w:rPr>
          <w:rFonts w:hint="eastAsia" w:ascii="仿宋_GB2312" w:eastAsia="仿宋_GB2312"/>
          <w:sz w:val="32"/>
          <w:szCs w:val="32"/>
        </w:rPr>
        <w:t>加强大型生物质锅炉低氮燃烧关键技术进步和设备制造，推进设备制造标准化系列化成套化。制定出台生物质供热工程设计、成型燃料产品、成型设备、生物质锅炉等标准。加快制定生物质供热锅炉专用污染物排放标准。加强检测认证体系建设，强化对工程与产品的质量监督。</w:t>
      </w:r>
    </w:p>
    <w:p w14:paraId="6BEE4806">
      <w:pPr>
        <w:spacing w:line="360" w:lineRule="auto"/>
        <w:ind w:firstLine="482" w:firstLineChars="150"/>
        <w:outlineLvl w:val="1"/>
        <w:rPr>
          <w:rFonts w:ascii="黑体" w:hAnsi="黑体" w:eastAsia="黑体"/>
          <w:b/>
          <w:sz w:val="32"/>
          <w:szCs w:val="32"/>
        </w:rPr>
      </w:pPr>
      <w:bookmarkStart w:id="19" w:name="_Toc457378377"/>
      <w:r>
        <w:rPr>
          <w:rFonts w:hint="eastAsia" w:ascii="黑体" w:hAnsi="黑体" w:eastAsia="黑体"/>
          <w:b/>
          <w:sz w:val="32"/>
          <w:szCs w:val="32"/>
        </w:rPr>
        <w:t>（三）稳步发展生物质发电</w:t>
      </w:r>
      <w:bookmarkEnd w:id="19"/>
    </w:p>
    <w:p w14:paraId="2AFB8499">
      <w:pPr>
        <w:spacing w:line="360" w:lineRule="auto"/>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发展布局</w:t>
      </w:r>
    </w:p>
    <w:p w14:paraId="44E50742">
      <w:pPr>
        <w:spacing w:line="360" w:lineRule="auto"/>
        <w:ind w:firstLine="640"/>
        <w:rPr>
          <w:rFonts w:ascii="仿宋_GB2312" w:eastAsia="仿宋_GB2312"/>
          <w:sz w:val="32"/>
          <w:szCs w:val="32"/>
        </w:rPr>
      </w:pPr>
      <w:r>
        <w:rPr>
          <w:rFonts w:hint="eastAsia" w:ascii="仿宋_GB2312" w:eastAsia="仿宋_GB2312"/>
          <w:sz w:val="32"/>
          <w:szCs w:val="32"/>
        </w:rPr>
        <w:t>在农林资源丰富区域，统筹原料收集及负荷，推进生物质直燃发电全面转向热电联产；在经济较为发达地区</w:t>
      </w:r>
      <w:r>
        <w:rPr>
          <w:rFonts w:hint="eastAsia" w:eastAsia="仿宋_GB2312"/>
          <w:sz w:val="32"/>
          <w:szCs w:val="32"/>
        </w:rPr>
        <w:t>合理布局生活垃圾焚烧发电项目</w:t>
      </w:r>
      <w:r>
        <w:rPr>
          <w:rFonts w:hint="eastAsia" w:ascii="仿宋_GB2312" w:eastAsia="仿宋_GB2312"/>
          <w:sz w:val="32"/>
          <w:szCs w:val="32"/>
        </w:rPr>
        <w:t>，加快西部地区垃圾焚烧发电发展；</w:t>
      </w:r>
      <w:r>
        <w:rPr>
          <w:rFonts w:hint="eastAsia" w:eastAsia="仿宋_GB2312"/>
          <w:sz w:val="32"/>
          <w:szCs w:val="32"/>
        </w:rPr>
        <w:t>在秸秆、畜禽养殖废弃物资源比较丰富的乡镇，因地制宜推进沼气发电项目建设。</w:t>
      </w:r>
    </w:p>
    <w:p w14:paraId="736AA560">
      <w:pPr>
        <w:spacing w:line="360" w:lineRule="auto"/>
        <w:ind w:firstLine="640"/>
        <w:rPr>
          <w:rFonts w:ascii="仿宋_GB2312" w:eastAsia="仿宋_GB2312"/>
          <w:b/>
          <w:sz w:val="32"/>
          <w:szCs w:val="32"/>
        </w:rPr>
        <w:sectPr>
          <w:pgSz w:w="11906" w:h="16838"/>
          <w:pgMar w:top="1440" w:right="1800" w:bottom="1440" w:left="1800" w:header="851" w:footer="992" w:gutter="0"/>
          <w:cols w:space="425" w:num="1"/>
          <w:docGrid w:type="lines" w:linePitch="312" w:charSpace="0"/>
        </w:sectPr>
      </w:pPr>
    </w:p>
    <w:tbl>
      <w:tblPr>
        <w:tblStyle w:val="18"/>
        <w:tblW w:w="0" w:type="auto"/>
        <w:jc w:val="center"/>
        <w:tblLayout w:type="autofit"/>
        <w:tblCellMar>
          <w:top w:w="0" w:type="dxa"/>
          <w:left w:w="108" w:type="dxa"/>
          <w:bottom w:w="0" w:type="dxa"/>
          <w:right w:w="108" w:type="dxa"/>
        </w:tblCellMar>
      </w:tblPr>
      <w:tblGrid>
        <w:gridCol w:w="698"/>
        <w:gridCol w:w="698"/>
        <w:gridCol w:w="2681"/>
        <w:gridCol w:w="2268"/>
        <w:gridCol w:w="2268"/>
        <w:gridCol w:w="3119"/>
        <w:gridCol w:w="2442"/>
      </w:tblGrid>
      <w:tr w14:paraId="2C47A560">
        <w:tblPrEx>
          <w:tblCellMar>
            <w:top w:w="0" w:type="dxa"/>
            <w:left w:w="108" w:type="dxa"/>
            <w:bottom w:w="0" w:type="dxa"/>
            <w:right w:w="108" w:type="dxa"/>
          </w:tblCellMar>
        </w:tblPrEx>
        <w:trPr>
          <w:trHeight w:val="454" w:hRule="atLeast"/>
          <w:jc w:val="center"/>
        </w:trPr>
        <w:tc>
          <w:tcPr>
            <w:tcW w:w="0" w:type="auto"/>
            <w:gridSpan w:val="7"/>
            <w:tcBorders>
              <w:top w:val="single" w:color="auto" w:sz="4" w:space="0"/>
              <w:left w:val="single" w:color="auto" w:sz="4" w:space="0"/>
              <w:bottom w:val="single" w:color="auto" w:sz="4" w:space="0"/>
              <w:right w:val="single" w:color="auto" w:sz="4" w:space="0"/>
            </w:tcBorders>
            <w:shd w:val="clear" w:color="auto" w:fill="auto"/>
            <w:vAlign w:val="center"/>
          </w:tcPr>
          <w:p w14:paraId="3D5B0CBB">
            <w:pPr>
              <w:jc w:val="center"/>
              <w:rPr>
                <w:b/>
                <w:sz w:val="24"/>
                <w:szCs w:val="24"/>
              </w:rPr>
            </w:pPr>
            <w:r>
              <w:rPr>
                <w:rFonts w:hint="eastAsia"/>
                <w:b/>
                <w:sz w:val="24"/>
                <w:szCs w:val="24"/>
              </w:rPr>
              <w:t>专栏5</w:t>
            </w:r>
            <w:r>
              <w:rPr>
                <w:b/>
                <w:sz w:val="24"/>
                <w:szCs w:val="24"/>
              </w:rPr>
              <w:t xml:space="preserve"> </w:t>
            </w:r>
            <w:r>
              <w:rPr>
                <w:rFonts w:hint="eastAsia"/>
                <w:b/>
                <w:sz w:val="24"/>
                <w:szCs w:val="24"/>
              </w:rPr>
              <w:t>“十三五”全国农林生物质与垃圾焚烧发电建设布局</w:t>
            </w:r>
          </w:p>
        </w:tc>
      </w:tr>
      <w:tr w14:paraId="4FD3C985">
        <w:tblPrEx>
          <w:tblCellMar>
            <w:top w:w="0" w:type="dxa"/>
            <w:left w:w="108" w:type="dxa"/>
            <w:bottom w:w="0" w:type="dxa"/>
            <w:right w:w="108" w:type="dxa"/>
          </w:tblCellMar>
        </w:tblPrEx>
        <w:trPr>
          <w:trHeight w:val="454" w:hRule="atLeast"/>
          <w:jc w:val="center"/>
        </w:trPr>
        <w:tc>
          <w:tcPr>
            <w:tcW w:w="0" w:type="auto"/>
            <w:vMerge w:val="restart"/>
            <w:tcBorders>
              <w:top w:val="single" w:color="auto" w:sz="4" w:space="0"/>
              <w:left w:val="single" w:color="auto" w:sz="4" w:space="0"/>
              <w:right w:val="single" w:color="auto" w:sz="4" w:space="0"/>
            </w:tcBorders>
            <w:shd w:val="clear" w:color="auto" w:fill="auto"/>
            <w:vAlign w:val="center"/>
          </w:tcPr>
          <w:p w14:paraId="10F22D04">
            <w:pPr>
              <w:jc w:val="center"/>
              <w:rPr>
                <w:rFonts w:ascii="仿宋_GB2312" w:hAnsi="宋体" w:eastAsia="仿宋_GB2312"/>
                <w:b/>
                <w:sz w:val="24"/>
                <w:szCs w:val="24"/>
              </w:rPr>
            </w:pPr>
            <w:r>
              <w:rPr>
                <w:rFonts w:hint="eastAsia" w:ascii="仿宋_GB2312" w:hAnsi="宋体" w:eastAsia="仿宋_GB2312"/>
                <w:b/>
                <w:sz w:val="24"/>
                <w:szCs w:val="24"/>
              </w:rPr>
              <w:t>序号</w:t>
            </w:r>
          </w:p>
        </w:tc>
        <w:tc>
          <w:tcPr>
            <w:tcW w:w="0" w:type="auto"/>
            <w:vMerge w:val="restart"/>
            <w:tcBorders>
              <w:top w:val="single" w:color="auto" w:sz="4" w:space="0"/>
              <w:left w:val="nil"/>
              <w:right w:val="single" w:color="auto" w:sz="4" w:space="0"/>
            </w:tcBorders>
            <w:shd w:val="clear" w:color="auto" w:fill="auto"/>
            <w:vAlign w:val="center"/>
          </w:tcPr>
          <w:p w14:paraId="5A50728B">
            <w:pPr>
              <w:jc w:val="center"/>
              <w:rPr>
                <w:rFonts w:ascii="仿宋_GB2312" w:hAnsi="宋体" w:eastAsia="仿宋_GB2312"/>
                <w:b/>
                <w:sz w:val="24"/>
                <w:szCs w:val="24"/>
              </w:rPr>
            </w:pPr>
            <w:r>
              <w:rPr>
                <w:rFonts w:hint="eastAsia" w:ascii="仿宋_GB2312" w:hAnsi="宋体" w:eastAsia="仿宋_GB2312"/>
                <w:b/>
                <w:sz w:val="24"/>
                <w:szCs w:val="24"/>
              </w:rPr>
              <w:t>区域</w:t>
            </w:r>
          </w:p>
        </w:tc>
        <w:tc>
          <w:tcPr>
            <w:tcW w:w="7217" w:type="dxa"/>
            <w:gridSpan w:val="3"/>
            <w:tcBorders>
              <w:top w:val="single" w:color="auto" w:sz="4" w:space="0"/>
              <w:left w:val="nil"/>
              <w:bottom w:val="single" w:color="auto" w:sz="4" w:space="0"/>
              <w:right w:val="single" w:color="auto" w:sz="4" w:space="0"/>
            </w:tcBorders>
            <w:shd w:val="clear" w:color="auto" w:fill="auto"/>
            <w:vAlign w:val="center"/>
          </w:tcPr>
          <w:p w14:paraId="105D9D33">
            <w:pPr>
              <w:jc w:val="center"/>
              <w:rPr>
                <w:rFonts w:ascii="仿宋_GB2312" w:hAnsi="宋体" w:eastAsia="仿宋_GB2312"/>
                <w:b/>
                <w:sz w:val="24"/>
                <w:szCs w:val="24"/>
              </w:rPr>
            </w:pPr>
            <w:r>
              <w:rPr>
                <w:rFonts w:hint="eastAsia" w:ascii="仿宋_GB2312" w:hAnsi="宋体" w:eastAsia="仿宋_GB2312"/>
                <w:b/>
                <w:sz w:val="24"/>
                <w:szCs w:val="24"/>
              </w:rPr>
              <w:t>垃圾焚烧发电领域</w:t>
            </w:r>
          </w:p>
        </w:tc>
        <w:tc>
          <w:tcPr>
            <w:tcW w:w="5561" w:type="dxa"/>
            <w:gridSpan w:val="2"/>
            <w:tcBorders>
              <w:top w:val="single" w:color="auto" w:sz="4" w:space="0"/>
              <w:left w:val="nil"/>
              <w:bottom w:val="single" w:color="auto" w:sz="4" w:space="0"/>
              <w:right w:val="single" w:color="auto" w:sz="4" w:space="0"/>
            </w:tcBorders>
            <w:vAlign w:val="center"/>
          </w:tcPr>
          <w:p w14:paraId="0D0E00A5">
            <w:pPr>
              <w:jc w:val="center"/>
              <w:rPr>
                <w:rFonts w:ascii="仿宋_GB2312" w:hAnsi="宋体" w:eastAsia="仿宋_GB2312"/>
                <w:b/>
                <w:sz w:val="24"/>
                <w:szCs w:val="24"/>
              </w:rPr>
            </w:pPr>
            <w:r>
              <w:rPr>
                <w:rFonts w:hint="eastAsia" w:ascii="仿宋_GB2312" w:hAnsi="宋体" w:eastAsia="仿宋_GB2312"/>
                <w:b/>
                <w:sz w:val="24"/>
                <w:szCs w:val="24"/>
              </w:rPr>
              <w:t>农林生物质直燃发电领域</w:t>
            </w:r>
          </w:p>
        </w:tc>
      </w:tr>
      <w:tr w14:paraId="7DF8B0BD">
        <w:tblPrEx>
          <w:tblCellMar>
            <w:top w:w="0" w:type="dxa"/>
            <w:left w:w="108" w:type="dxa"/>
            <w:bottom w:w="0" w:type="dxa"/>
            <w:right w:w="108" w:type="dxa"/>
          </w:tblCellMar>
        </w:tblPrEx>
        <w:trPr>
          <w:trHeight w:val="454" w:hRule="atLeast"/>
          <w:jc w:val="center"/>
        </w:trPr>
        <w:tc>
          <w:tcPr>
            <w:tcW w:w="0" w:type="auto"/>
            <w:vMerge w:val="continue"/>
            <w:tcBorders>
              <w:left w:val="single" w:color="auto" w:sz="4" w:space="0"/>
              <w:bottom w:val="single" w:color="auto" w:sz="4" w:space="0"/>
              <w:right w:val="single" w:color="auto" w:sz="4" w:space="0"/>
            </w:tcBorders>
            <w:shd w:val="clear" w:color="auto" w:fill="auto"/>
            <w:vAlign w:val="center"/>
          </w:tcPr>
          <w:p w14:paraId="33C56753">
            <w:pPr>
              <w:jc w:val="center"/>
              <w:rPr>
                <w:rFonts w:ascii="仿宋_GB2312" w:hAnsi="宋体" w:eastAsia="仿宋_GB2312"/>
                <w:b/>
                <w:sz w:val="24"/>
                <w:szCs w:val="24"/>
              </w:rPr>
            </w:pPr>
          </w:p>
        </w:tc>
        <w:tc>
          <w:tcPr>
            <w:tcW w:w="0" w:type="auto"/>
            <w:vMerge w:val="continue"/>
            <w:tcBorders>
              <w:left w:val="nil"/>
              <w:bottom w:val="single" w:color="auto" w:sz="4" w:space="0"/>
              <w:right w:val="single" w:color="auto" w:sz="4" w:space="0"/>
            </w:tcBorders>
            <w:shd w:val="clear" w:color="auto" w:fill="auto"/>
            <w:vAlign w:val="center"/>
          </w:tcPr>
          <w:p w14:paraId="69F5E769">
            <w:pPr>
              <w:jc w:val="center"/>
              <w:rPr>
                <w:rFonts w:ascii="仿宋_GB2312" w:hAnsi="宋体" w:eastAsia="仿宋_GB2312"/>
                <w:b/>
                <w:sz w:val="24"/>
                <w:szCs w:val="24"/>
              </w:rPr>
            </w:pPr>
          </w:p>
        </w:tc>
        <w:tc>
          <w:tcPr>
            <w:tcW w:w="2681" w:type="dxa"/>
            <w:tcBorders>
              <w:top w:val="single" w:color="auto" w:sz="4" w:space="0"/>
              <w:left w:val="nil"/>
              <w:bottom w:val="single" w:color="auto" w:sz="4" w:space="0"/>
              <w:right w:val="single" w:color="auto" w:sz="4" w:space="0"/>
            </w:tcBorders>
            <w:shd w:val="clear" w:color="auto" w:fill="auto"/>
            <w:vAlign w:val="center"/>
          </w:tcPr>
          <w:p w14:paraId="787999DC">
            <w:pPr>
              <w:jc w:val="center"/>
              <w:rPr>
                <w:rFonts w:ascii="仿宋_GB2312" w:hAnsi="宋体" w:eastAsia="仿宋_GB2312"/>
                <w:b/>
                <w:sz w:val="24"/>
                <w:szCs w:val="24"/>
              </w:rPr>
            </w:pPr>
            <w:r>
              <w:rPr>
                <w:rFonts w:hint="eastAsia" w:ascii="仿宋_GB2312" w:hAnsi="宋体" w:eastAsia="仿宋_GB2312"/>
                <w:b/>
                <w:sz w:val="24"/>
                <w:szCs w:val="24"/>
              </w:rPr>
              <w:t>重点省份</w:t>
            </w:r>
          </w:p>
        </w:tc>
        <w:tc>
          <w:tcPr>
            <w:tcW w:w="2268" w:type="dxa"/>
            <w:tcBorders>
              <w:top w:val="single" w:color="auto" w:sz="4" w:space="0"/>
              <w:left w:val="nil"/>
              <w:bottom w:val="single" w:color="auto" w:sz="4" w:space="0"/>
              <w:right w:val="single" w:color="auto" w:sz="4" w:space="0"/>
            </w:tcBorders>
            <w:shd w:val="clear" w:color="auto" w:fill="auto"/>
            <w:vAlign w:val="center"/>
          </w:tcPr>
          <w:p w14:paraId="091AFC96">
            <w:pPr>
              <w:jc w:val="center"/>
              <w:rPr>
                <w:rFonts w:ascii="仿宋_GB2312" w:hAnsi="宋体" w:eastAsia="仿宋_GB2312"/>
                <w:b/>
                <w:sz w:val="24"/>
                <w:szCs w:val="24"/>
              </w:rPr>
            </w:pPr>
            <w:r>
              <w:rPr>
                <w:rFonts w:hint="eastAsia" w:ascii="仿宋_GB2312" w:hAnsi="宋体" w:eastAsia="仿宋_GB2312"/>
                <w:b/>
                <w:sz w:val="24"/>
                <w:szCs w:val="24"/>
              </w:rPr>
              <w:t>垃圾处置能力</w:t>
            </w:r>
          </w:p>
          <w:p w14:paraId="76F09400">
            <w:pPr>
              <w:jc w:val="center"/>
              <w:rPr>
                <w:rFonts w:ascii="仿宋_GB2312" w:hAnsi="宋体" w:eastAsia="仿宋_GB2312"/>
                <w:b/>
                <w:sz w:val="24"/>
                <w:szCs w:val="24"/>
              </w:rPr>
            </w:pPr>
            <w:r>
              <w:rPr>
                <w:rFonts w:ascii="仿宋_GB2312" w:hAnsi="宋体" w:eastAsia="仿宋_GB2312"/>
                <w:b/>
                <w:sz w:val="24"/>
                <w:szCs w:val="24"/>
              </w:rPr>
              <w:t>(万吨/日）</w:t>
            </w:r>
          </w:p>
        </w:tc>
        <w:tc>
          <w:tcPr>
            <w:tcW w:w="2268" w:type="dxa"/>
            <w:tcBorders>
              <w:top w:val="single" w:color="auto" w:sz="4" w:space="0"/>
              <w:left w:val="nil"/>
              <w:bottom w:val="single" w:color="auto" w:sz="4" w:space="0"/>
              <w:right w:val="single" w:color="auto" w:sz="4" w:space="0"/>
            </w:tcBorders>
            <w:shd w:val="clear" w:color="auto" w:fill="auto"/>
            <w:vAlign w:val="center"/>
          </w:tcPr>
          <w:p w14:paraId="294AD956">
            <w:pPr>
              <w:jc w:val="center"/>
              <w:rPr>
                <w:rFonts w:ascii="仿宋_GB2312" w:hAnsi="宋体" w:eastAsia="仿宋_GB2312"/>
                <w:b/>
                <w:sz w:val="24"/>
                <w:szCs w:val="24"/>
              </w:rPr>
            </w:pPr>
            <w:r>
              <w:rPr>
                <w:rFonts w:hint="eastAsia" w:ascii="仿宋_GB2312" w:hAnsi="宋体" w:eastAsia="仿宋_GB2312"/>
                <w:b/>
                <w:sz w:val="24"/>
                <w:szCs w:val="24"/>
              </w:rPr>
              <w:t>2020年规划装机规模（万千瓦）</w:t>
            </w:r>
          </w:p>
        </w:tc>
        <w:tc>
          <w:tcPr>
            <w:tcW w:w="3119" w:type="dxa"/>
            <w:tcBorders>
              <w:top w:val="single" w:color="auto" w:sz="4" w:space="0"/>
              <w:left w:val="nil"/>
              <w:bottom w:val="single" w:color="auto" w:sz="4" w:space="0"/>
              <w:right w:val="single" w:color="auto" w:sz="4" w:space="0"/>
            </w:tcBorders>
            <w:vAlign w:val="center"/>
          </w:tcPr>
          <w:p w14:paraId="4444FC79">
            <w:pPr>
              <w:jc w:val="center"/>
              <w:rPr>
                <w:rFonts w:ascii="仿宋_GB2312" w:hAnsi="宋体" w:eastAsia="仿宋_GB2312"/>
                <w:b/>
                <w:sz w:val="24"/>
                <w:szCs w:val="24"/>
              </w:rPr>
            </w:pPr>
            <w:r>
              <w:rPr>
                <w:rFonts w:hint="eastAsia" w:ascii="仿宋_GB2312" w:hAnsi="宋体" w:eastAsia="仿宋_GB2312"/>
                <w:b/>
                <w:sz w:val="24"/>
                <w:szCs w:val="24"/>
              </w:rPr>
              <w:t>重点省份</w:t>
            </w:r>
          </w:p>
        </w:tc>
        <w:tc>
          <w:tcPr>
            <w:tcW w:w="2442" w:type="dxa"/>
            <w:tcBorders>
              <w:top w:val="single" w:color="auto" w:sz="4" w:space="0"/>
              <w:left w:val="nil"/>
              <w:bottom w:val="single" w:color="auto" w:sz="4" w:space="0"/>
              <w:right w:val="single" w:color="auto" w:sz="4" w:space="0"/>
            </w:tcBorders>
            <w:vAlign w:val="center"/>
          </w:tcPr>
          <w:p w14:paraId="221795A3">
            <w:pPr>
              <w:jc w:val="center"/>
              <w:rPr>
                <w:rFonts w:ascii="仿宋_GB2312" w:hAnsi="宋体" w:eastAsia="仿宋_GB2312"/>
                <w:b/>
                <w:sz w:val="24"/>
                <w:szCs w:val="24"/>
              </w:rPr>
            </w:pPr>
            <w:r>
              <w:rPr>
                <w:rFonts w:hint="eastAsia" w:ascii="仿宋_GB2312" w:hAnsi="宋体" w:eastAsia="仿宋_GB2312"/>
                <w:b/>
                <w:sz w:val="24"/>
                <w:szCs w:val="24"/>
              </w:rPr>
              <w:t>2020年规划装机规模（万千瓦）</w:t>
            </w:r>
          </w:p>
        </w:tc>
      </w:tr>
      <w:tr w14:paraId="3C02167F">
        <w:tblPrEx>
          <w:tblCellMar>
            <w:top w:w="0" w:type="dxa"/>
            <w:left w:w="108" w:type="dxa"/>
            <w:bottom w:w="0" w:type="dxa"/>
            <w:right w:w="108" w:type="dxa"/>
          </w:tblCellMar>
        </w:tblPrEx>
        <w:trPr>
          <w:trHeight w:val="454"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6B056E">
            <w:pPr>
              <w:spacing w:line="400" w:lineRule="exact"/>
              <w:jc w:val="center"/>
              <w:rPr>
                <w:rFonts w:ascii="仿宋_GB2312" w:hAnsi="宋体" w:eastAsia="仿宋_GB2312"/>
                <w:sz w:val="24"/>
                <w:szCs w:val="24"/>
              </w:rPr>
            </w:pPr>
            <w:r>
              <w:rPr>
                <w:rFonts w:hint="eastAsia" w:ascii="仿宋_GB2312" w:hAnsi="宋体" w:eastAsia="仿宋_GB2312"/>
                <w:sz w:val="24"/>
                <w:szCs w:val="24"/>
              </w:rPr>
              <w:t>1</w:t>
            </w:r>
          </w:p>
        </w:tc>
        <w:tc>
          <w:tcPr>
            <w:tcW w:w="0" w:type="auto"/>
            <w:tcBorders>
              <w:top w:val="single" w:color="auto" w:sz="4" w:space="0"/>
              <w:left w:val="nil"/>
              <w:bottom w:val="single" w:color="auto" w:sz="4" w:space="0"/>
              <w:right w:val="single" w:color="auto" w:sz="4" w:space="0"/>
            </w:tcBorders>
            <w:shd w:val="clear" w:color="auto" w:fill="auto"/>
            <w:vAlign w:val="center"/>
          </w:tcPr>
          <w:p w14:paraId="5512BA9A">
            <w:pPr>
              <w:spacing w:line="400" w:lineRule="exact"/>
              <w:jc w:val="center"/>
              <w:rPr>
                <w:rFonts w:ascii="仿宋_GB2312" w:hAnsi="宋体" w:eastAsia="仿宋_GB2312"/>
                <w:b/>
                <w:sz w:val="24"/>
                <w:szCs w:val="24"/>
              </w:rPr>
            </w:pPr>
            <w:r>
              <w:rPr>
                <w:rFonts w:hint="eastAsia" w:ascii="仿宋_GB2312" w:hAnsi="宋体" w:eastAsia="仿宋_GB2312"/>
                <w:sz w:val="24"/>
                <w:szCs w:val="24"/>
              </w:rPr>
              <w:t>华北</w:t>
            </w:r>
          </w:p>
        </w:tc>
        <w:tc>
          <w:tcPr>
            <w:tcW w:w="2681" w:type="dxa"/>
            <w:tcBorders>
              <w:top w:val="single" w:color="auto" w:sz="4" w:space="0"/>
              <w:left w:val="nil"/>
              <w:bottom w:val="single" w:color="auto" w:sz="4" w:space="0"/>
              <w:right w:val="single" w:color="auto" w:sz="4" w:space="0"/>
            </w:tcBorders>
            <w:shd w:val="clear" w:color="auto" w:fill="auto"/>
            <w:vAlign w:val="center"/>
          </w:tcPr>
          <w:p w14:paraId="74F2F03B">
            <w:pPr>
              <w:spacing w:line="400" w:lineRule="exact"/>
              <w:jc w:val="center"/>
              <w:rPr>
                <w:rFonts w:ascii="仿宋_GB2312" w:hAnsi="宋体" w:eastAsia="仿宋_GB2312"/>
                <w:sz w:val="24"/>
                <w:szCs w:val="24"/>
              </w:rPr>
            </w:pPr>
            <w:r>
              <w:rPr>
                <w:rFonts w:hint="eastAsia" w:ascii="仿宋_GB2312" w:hAnsi="宋体" w:eastAsia="仿宋_GB2312"/>
                <w:sz w:val="24"/>
                <w:szCs w:val="24"/>
              </w:rPr>
              <w:t>河北等</w:t>
            </w:r>
          </w:p>
        </w:tc>
        <w:tc>
          <w:tcPr>
            <w:tcW w:w="2268" w:type="dxa"/>
            <w:tcBorders>
              <w:top w:val="single" w:color="auto" w:sz="4" w:space="0"/>
              <w:left w:val="nil"/>
              <w:bottom w:val="single" w:color="auto" w:sz="4" w:space="0"/>
              <w:right w:val="single" w:color="auto" w:sz="4" w:space="0"/>
            </w:tcBorders>
            <w:shd w:val="clear" w:color="auto" w:fill="auto"/>
            <w:vAlign w:val="center"/>
          </w:tcPr>
          <w:p w14:paraId="3958DED5">
            <w:pPr>
              <w:spacing w:line="400" w:lineRule="exact"/>
              <w:jc w:val="center"/>
              <w:rPr>
                <w:rFonts w:ascii="仿宋_GB2312" w:hAnsi="宋体" w:eastAsia="仿宋_GB2312"/>
                <w:sz w:val="24"/>
                <w:szCs w:val="24"/>
              </w:rPr>
            </w:pPr>
            <w:r>
              <w:rPr>
                <w:rFonts w:hint="eastAsia" w:ascii="仿宋_GB2312" w:hAnsi="宋体" w:eastAsia="仿宋_GB2312"/>
                <w:sz w:val="24"/>
                <w:szCs w:val="24"/>
              </w:rPr>
              <w:t>6.1</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3F8E7E">
            <w:pPr>
              <w:spacing w:line="400" w:lineRule="exact"/>
              <w:jc w:val="center"/>
              <w:rPr>
                <w:rFonts w:ascii="仿宋_GB2312" w:hAnsi="宋体" w:eastAsia="仿宋_GB2312"/>
                <w:sz w:val="24"/>
                <w:szCs w:val="24"/>
              </w:rPr>
            </w:pPr>
            <w:r>
              <w:rPr>
                <w:rFonts w:hint="eastAsia" w:ascii="仿宋_GB2312" w:hAnsi="宋体" w:eastAsia="仿宋_GB2312"/>
                <w:sz w:val="24"/>
                <w:szCs w:val="24"/>
              </w:rPr>
              <w:t>80</w:t>
            </w:r>
          </w:p>
        </w:tc>
        <w:tc>
          <w:tcPr>
            <w:tcW w:w="3119" w:type="dxa"/>
            <w:tcBorders>
              <w:top w:val="single" w:color="auto" w:sz="4" w:space="0"/>
              <w:left w:val="nil"/>
              <w:bottom w:val="single" w:color="auto" w:sz="4" w:space="0"/>
              <w:right w:val="single" w:color="auto" w:sz="4" w:space="0"/>
            </w:tcBorders>
            <w:vAlign w:val="center"/>
          </w:tcPr>
          <w:p w14:paraId="234C5FB6">
            <w:pPr>
              <w:spacing w:line="400" w:lineRule="exact"/>
              <w:jc w:val="center"/>
              <w:rPr>
                <w:rFonts w:ascii="仿宋_GB2312" w:hAnsi="宋体" w:eastAsia="仿宋_GB2312"/>
                <w:sz w:val="24"/>
                <w:szCs w:val="24"/>
              </w:rPr>
            </w:pPr>
            <w:r>
              <w:rPr>
                <w:rFonts w:hint="eastAsia" w:ascii="仿宋_GB2312" w:hAnsi="宋体" w:eastAsia="仿宋_GB2312"/>
                <w:sz w:val="24"/>
                <w:szCs w:val="24"/>
              </w:rPr>
              <w:t>河北、山西、内蒙古等</w:t>
            </w:r>
          </w:p>
        </w:tc>
        <w:tc>
          <w:tcPr>
            <w:tcW w:w="2442" w:type="dxa"/>
            <w:tcBorders>
              <w:top w:val="single" w:color="auto" w:sz="4" w:space="0"/>
              <w:left w:val="nil"/>
              <w:bottom w:val="single" w:color="auto" w:sz="4" w:space="0"/>
              <w:right w:val="single" w:color="auto" w:sz="4" w:space="0"/>
            </w:tcBorders>
            <w:vAlign w:val="center"/>
          </w:tcPr>
          <w:p w14:paraId="09C56774">
            <w:pPr>
              <w:spacing w:line="400" w:lineRule="exact"/>
              <w:jc w:val="center"/>
              <w:rPr>
                <w:rFonts w:ascii="仿宋_GB2312" w:hAnsi="宋体" w:eastAsia="仿宋_GB2312"/>
                <w:sz w:val="24"/>
                <w:szCs w:val="24"/>
              </w:rPr>
            </w:pPr>
            <w:r>
              <w:rPr>
                <w:rFonts w:hint="eastAsia" w:ascii="仿宋_GB2312" w:hAnsi="宋体" w:eastAsia="仿宋_GB2312"/>
                <w:sz w:val="24"/>
                <w:szCs w:val="24"/>
              </w:rPr>
              <w:t>120</w:t>
            </w:r>
          </w:p>
        </w:tc>
      </w:tr>
      <w:tr w14:paraId="01CBC5CC">
        <w:tblPrEx>
          <w:tblCellMar>
            <w:top w:w="0" w:type="dxa"/>
            <w:left w:w="108" w:type="dxa"/>
            <w:bottom w:w="0" w:type="dxa"/>
            <w:right w:w="108" w:type="dxa"/>
          </w:tblCellMar>
        </w:tblPrEx>
        <w:trPr>
          <w:trHeight w:val="454"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1B045E">
            <w:pPr>
              <w:spacing w:line="400" w:lineRule="exact"/>
              <w:jc w:val="center"/>
              <w:rPr>
                <w:rFonts w:ascii="仿宋_GB2312" w:hAnsi="宋体" w:eastAsia="仿宋_GB2312"/>
                <w:b/>
                <w:sz w:val="24"/>
                <w:szCs w:val="24"/>
              </w:rPr>
            </w:pPr>
            <w:r>
              <w:rPr>
                <w:rFonts w:ascii="仿宋_GB2312" w:hAnsi="宋体" w:eastAsia="仿宋_GB2312"/>
                <w:sz w:val="24"/>
                <w:szCs w:val="24"/>
              </w:rPr>
              <w:t>2</w:t>
            </w:r>
          </w:p>
        </w:tc>
        <w:tc>
          <w:tcPr>
            <w:tcW w:w="0" w:type="auto"/>
            <w:tcBorders>
              <w:top w:val="single" w:color="auto" w:sz="4" w:space="0"/>
              <w:left w:val="nil"/>
              <w:bottom w:val="single" w:color="auto" w:sz="4" w:space="0"/>
              <w:right w:val="single" w:color="auto" w:sz="4" w:space="0"/>
            </w:tcBorders>
            <w:shd w:val="clear" w:color="auto" w:fill="auto"/>
            <w:vAlign w:val="center"/>
          </w:tcPr>
          <w:p w14:paraId="64DC0586">
            <w:pPr>
              <w:spacing w:line="400" w:lineRule="exact"/>
              <w:jc w:val="center"/>
              <w:rPr>
                <w:rFonts w:ascii="仿宋_GB2312" w:hAnsi="宋体" w:eastAsia="仿宋_GB2312"/>
                <w:b/>
                <w:sz w:val="24"/>
                <w:szCs w:val="24"/>
              </w:rPr>
            </w:pPr>
            <w:r>
              <w:rPr>
                <w:rFonts w:hint="eastAsia" w:ascii="仿宋_GB2312" w:hAnsi="宋体" w:eastAsia="仿宋_GB2312"/>
                <w:sz w:val="24"/>
                <w:szCs w:val="24"/>
              </w:rPr>
              <w:t>东北</w:t>
            </w:r>
          </w:p>
        </w:tc>
        <w:tc>
          <w:tcPr>
            <w:tcW w:w="2681" w:type="dxa"/>
            <w:tcBorders>
              <w:top w:val="single" w:color="auto" w:sz="4" w:space="0"/>
              <w:left w:val="nil"/>
              <w:bottom w:val="single" w:color="auto" w:sz="4" w:space="0"/>
              <w:right w:val="single" w:color="auto" w:sz="4" w:space="0"/>
            </w:tcBorders>
            <w:shd w:val="clear" w:color="auto" w:fill="auto"/>
            <w:vAlign w:val="center"/>
          </w:tcPr>
          <w:p w14:paraId="7B87861A">
            <w:pPr>
              <w:spacing w:line="400" w:lineRule="exact"/>
              <w:jc w:val="center"/>
              <w:rPr>
                <w:rFonts w:ascii="仿宋_GB2312" w:hAnsi="宋体" w:eastAsia="仿宋_GB2312"/>
                <w:b/>
                <w:sz w:val="24"/>
                <w:szCs w:val="24"/>
              </w:rPr>
            </w:pPr>
            <w:r>
              <w:rPr>
                <w:rFonts w:hint="eastAsia" w:ascii="仿宋_GB2312" w:hAnsi="宋体" w:eastAsia="仿宋_GB2312"/>
                <w:sz w:val="24"/>
                <w:szCs w:val="24"/>
              </w:rPr>
              <w:t>辽宁等</w:t>
            </w:r>
          </w:p>
        </w:tc>
        <w:tc>
          <w:tcPr>
            <w:tcW w:w="2268" w:type="dxa"/>
            <w:tcBorders>
              <w:top w:val="single" w:color="auto" w:sz="4" w:space="0"/>
              <w:left w:val="nil"/>
              <w:bottom w:val="single" w:color="auto" w:sz="4" w:space="0"/>
              <w:right w:val="single" w:color="auto" w:sz="4" w:space="0"/>
            </w:tcBorders>
            <w:shd w:val="clear" w:color="auto" w:fill="auto"/>
            <w:vAlign w:val="center"/>
          </w:tcPr>
          <w:p w14:paraId="5F37A6FC">
            <w:pPr>
              <w:spacing w:line="400" w:lineRule="exact"/>
              <w:jc w:val="center"/>
              <w:rPr>
                <w:rFonts w:ascii="仿宋_GB2312" w:hAnsi="宋体" w:eastAsia="仿宋_GB2312"/>
                <w:b/>
                <w:sz w:val="24"/>
                <w:szCs w:val="24"/>
              </w:rPr>
            </w:pPr>
            <w:r>
              <w:rPr>
                <w:rFonts w:ascii="仿宋_GB2312" w:hAnsi="宋体" w:eastAsia="仿宋_GB2312"/>
                <w:sz w:val="24"/>
                <w:szCs w:val="24"/>
              </w:rPr>
              <w:t>3</w:t>
            </w:r>
            <w:r>
              <w:rPr>
                <w:rFonts w:hint="eastAsia" w:ascii="仿宋_GB2312" w:hAnsi="宋体" w:eastAsia="仿宋_GB2312"/>
                <w:sz w:val="24"/>
                <w:szCs w:val="24"/>
              </w:rPr>
              <w:t>.1</w:t>
            </w:r>
          </w:p>
        </w:tc>
        <w:tc>
          <w:tcPr>
            <w:tcW w:w="2268" w:type="dxa"/>
            <w:tcBorders>
              <w:top w:val="single" w:color="auto" w:sz="4" w:space="0"/>
              <w:left w:val="nil"/>
              <w:bottom w:val="single" w:color="auto" w:sz="4" w:space="0"/>
              <w:right w:val="single" w:color="auto" w:sz="4" w:space="0"/>
            </w:tcBorders>
            <w:shd w:val="clear" w:color="auto" w:fill="auto"/>
            <w:vAlign w:val="center"/>
          </w:tcPr>
          <w:p w14:paraId="6F4FBFBC">
            <w:pPr>
              <w:spacing w:line="400" w:lineRule="exact"/>
              <w:jc w:val="center"/>
              <w:rPr>
                <w:rFonts w:ascii="仿宋_GB2312" w:hAnsi="宋体" w:eastAsia="仿宋_GB2312"/>
                <w:sz w:val="24"/>
                <w:szCs w:val="24"/>
              </w:rPr>
            </w:pPr>
            <w:r>
              <w:rPr>
                <w:rFonts w:ascii="仿宋_GB2312" w:hAnsi="宋体" w:eastAsia="仿宋_GB2312"/>
                <w:sz w:val="24"/>
                <w:szCs w:val="24"/>
              </w:rPr>
              <w:t>40</w:t>
            </w:r>
          </w:p>
        </w:tc>
        <w:tc>
          <w:tcPr>
            <w:tcW w:w="3119" w:type="dxa"/>
            <w:tcBorders>
              <w:top w:val="single" w:color="auto" w:sz="4" w:space="0"/>
              <w:left w:val="nil"/>
              <w:bottom w:val="single" w:color="auto" w:sz="4" w:space="0"/>
              <w:right w:val="single" w:color="auto" w:sz="4" w:space="0"/>
            </w:tcBorders>
            <w:vAlign w:val="center"/>
          </w:tcPr>
          <w:p w14:paraId="19B532BA">
            <w:pPr>
              <w:spacing w:line="400" w:lineRule="exact"/>
              <w:jc w:val="center"/>
              <w:rPr>
                <w:rFonts w:ascii="仿宋_GB2312" w:hAnsi="宋体" w:eastAsia="仿宋_GB2312"/>
                <w:sz w:val="24"/>
                <w:szCs w:val="24"/>
                <w:highlight w:val="yellow"/>
              </w:rPr>
            </w:pPr>
            <w:r>
              <w:rPr>
                <w:rFonts w:hint="eastAsia" w:ascii="仿宋_GB2312" w:hAnsi="宋体" w:eastAsia="仿宋_GB2312"/>
                <w:sz w:val="24"/>
                <w:szCs w:val="24"/>
              </w:rPr>
              <w:t>辽宁、吉林、黑龙江</w:t>
            </w:r>
          </w:p>
        </w:tc>
        <w:tc>
          <w:tcPr>
            <w:tcW w:w="2442" w:type="dxa"/>
            <w:tcBorders>
              <w:top w:val="single" w:color="auto" w:sz="4" w:space="0"/>
              <w:left w:val="nil"/>
              <w:bottom w:val="single" w:color="auto" w:sz="4" w:space="0"/>
              <w:right w:val="single" w:color="auto" w:sz="4" w:space="0"/>
            </w:tcBorders>
            <w:vAlign w:val="center"/>
          </w:tcPr>
          <w:p w14:paraId="6C869EF7">
            <w:pPr>
              <w:spacing w:line="400" w:lineRule="exact"/>
              <w:jc w:val="center"/>
              <w:rPr>
                <w:rFonts w:ascii="仿宋_GB2312" w:hAnsi="宋体" w:eastAsia="仿宋_GB2312"/>
                <w:sz w:val="24"/>
                <w:szCs w:val="24"/>
                <w:highlight w:val="yellow"/>
              </w:rPr>
            </w:pPr>
            <w:r>
              <w:rPr>
                <w:rFonts w:hint="eastAsia" w:ascii="仿宋_GB2312" w:hAnsi="宋体" w:eastAsia="仿宋_GB2312"/>
                <w:sz w:val="24"/>
                <w:szCs w:val="24"/>
              </w:rPr>
              <w:t>100</w:t>
            </w:r>
          </w:p>
        </w:tc>
      </w:tr>
      <w:tr w14:paraId="2C10C3C6">
        <w:tblPrEx>
          <w:tblCellMar>
            <w:top w:w="0" w:type="dxa"/>
            <w:left w:w="108" w:type="dxa"/>
            <w:bottom w:w="0" w:type="dxa"/>
            <w:right w:w="108" w:type="dxa"/>
          </w:tblCellMar>
        </w:tblPrEx>
        <w:trPr>
          <w:trHeight w:val="45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5D0F12EC">
            <w:pPr>
              <w:spacing w:line="400" w:lineRule="exact"/>
              <w:jc w:val="center"/>
              <w:rPr>
                <w:rFonts w:ascii="仿宋_GB2312" w:hAnsi="宋体" w:eastAsia="仿宋_GB2312"/>
                <w:sz w:val="24"/>
                <w:szCs w:val="24"/>
              </w:rPr>
            </w:pPr>
            <w:r>
              <w:rPr>
                <w:rFonts w:ascii="仿宋_GB2312" w:hAnsi="宋体" w:eastAsia="仿宋_GB2312"/>
                <w:sz w:val="24"/>
                <w:szCs w:val="24"/>
              </w:rPr>
              <w:t>3</w:t>
            </w:r>
          </w:p>
        </w:tc>
        <w:tc>
          <w:tcPr>
            <w:tcW w:w="0" w:type="auto"/>
            <w:tcBorders>
              <w:top w:val="nil"/>
              <w:left w:val="nil"/>
              <w:bottom w:val="single" w:color="auto" w:sz="4" w:space="0"/>
              <w:right w:val="single" w:color="auto" w:sz="4" w:space="0"/>
            </w:tcBorders>
            <w:shd w:val="clear" w:color="auto" w:fill="auto"/>
            <w:noWrap/>
            <w:vAlign w:val="center"/>
          </w:tcPr>
          <w:p w14:paraId="2302DEE2">
            <w:pPr>
              <w:spacing w:line="400" w:lineRule="exact"/>
              <w:jc w:val="center"/>
              <w:rPr>
                <w:rFonts w:ascii="仿宋_GB2312" w:hAnsi="宋体" w:eastAsia="仿宋_GB2312"/>
                <w:sz w:val="24"/>
                <w:szCs w:val="24"/>
              </w:rPr>
            </w:pPr>
            <w:r>
              <w:rPr>
                <w:rFonts w:hint="eastAsia" w:ascii="仿宋_GB2312" w:hAnsi="宋体" w:eastAsia="仿宋_GB2312"/>
                <w:sz w:val="24"/>
                <w:szCs w:val="24"/>
              </w:rPr>
              <w:t>华东</w:t>
            </w:r>
          </w:p>
        </w:tc>
        <w:tc>
          <w:tcPr>
            <w:tcW w:w="2681" w:type="dxa"/>
            <w:tcBorders>
              <w:top w:val="nil"/>
              <w:left w:val="nil"/>
              <w:bottom w:val="single" w:color="auto" w:sz="4" w:space="0"/>
              <w:right w:val="single" w:color="auto" w:sz="4" w:space="0"/>
            </w:tcBorders>
            <w:shd w:val="clear" w:color="auto" w:fill="auto"/>
            <w:vAlign w:val="center"/>
          </w:tcPr>
          <w:p w14:paraId="4677B686">
            <w:pPr>
              <w:spacing w:line="400" w:lineRule="exact"/>
              <w:jc w:val="center"/>
              <w:rPr>
                <w:rFonts w:ascii="仿宋_GB2312" w:hAnsi="宋体" w:eastAsia="仿宋_GB2312"/>
                <w:sz w:val="24"/>
                <w:szCs w:val="24"/>
              </w:rPr>
            </w:pPr>
            <w:r>
              <w:rPr>
                <w:rFonts w:hint="eastAsia" w:ascii="仿宋_GB2312" w:hAnsi="宋体" w:eastAsia="仿宋_GB2312"/>
                <w:sz w:val="24"/>
                <w:szCs w:val="24"/>
              </w:rPr>
              <w:t>江苏、浙江、安徽、福建、江西、山东等</w:t>
            </w:r>
          </w:p>
        </w:tc>
        <w:tc>
          <w:tcPr>
            <w:tcW w:w="2268" w:type="dxa"/>
            <w:tcBorders>
              <w:top w:val="nil"/>
              <w:left w:val="nil"/>
              <w:bottom w:val="single" w:color="auto" w:sz="4" w:space="0"/>
              <w:right w:val="single" w:color="auto" w:sz="4" w:space="0"/>
            </w:tcBorders>
            <w:shd w:val="clear" w:color="auto" w:fill="auto"/>
            <w:noWrap/>
            <w:vAlign w:val="center"/>
          </w:tcPr>
          <w:p w14:paraId="3B154B92">
            <w:pPr>
              <w:spacing w:line="400" w:lineRule="exact"/>
              <w:jc w:val="center"/>
              <w:rPr>
                <w:rFonts w:ascii="仿宋_GB2312" w:hAnsi="宋体" w:eastAsia="仿宋_GB2312"/>
                <w:sz w:val="24"/>
                <w:szCs w:val="24"/>
              </w:rPr>
            </w:pPr>
            <w:r>
              <w:rPr>
                <w:rFonts w:hint="eastAsia" w:ascii="仿宋_GB2312" w:hAnsi="宋体" w:eastAsia="仿宋_GB2312"/>
                <w:sz w:val="24"/>
                <w:szCs w:val="24"/>
              </w:rPr>
              <w:t>20.9</w:t>
            </w:r>
          </w:p>
        </w:tc>
        <w:tc>
          <w:tcPr>
            <w:tcW w:w="2268" w:type="dxa"/>
            <w:tcBorders>
              <w:top w:val="nil"/>
              <w:left w:val="nil"/>
              <w:bottom w:val="single" w:color="auto" w:sz="4" w:space="0"/>
              <w:right w:val="single" w:color="auto" w:sz="4" w:space="0"/>
            </w:tcBorders>
            <w:shd w:val="clear" w:color="auto" w:fill="auto"/>
            <w:noWrap/>
            <w:vAlign w:val="center"/>
          </w:tcPr>
          <w:p w14:paraId="6C9B6C30">
            <w:pPr>
              <w:spacing w:line="400" w:lineRule="exact"/>
              <w:jc w:val="center"/>
              <w:rPr>
                <w:rFonts w:ascii="仿宋_GB2312" w:hAnsi="宋体" w:eastAsia="仿宋_GB2312"/>
                <w:sz w:val="24"/>
                <w:szCs w:val="24"/>
              </w:rPr>
            </w:pPr>
            <w:r>
              <w:rPr>
                <w:rFonts w:hint="eastAsia" w:ascii="仿宋_GB2312" w:hAnsi="宋体" w:eastAsia="仿宋_GB2312"/>
                <w:sz w:val="24"/>
                <w:szCs w:val="24"/>
              </w:rPr>
              <w:t>310</w:t>
            </w:r>
          </w:p>
        </w:tc>
        <w:tc>
          <w:tcPr>
            <w:tcW w:w="3119" w:type="dxa"/>
            <w:tcBorders>
              <w:top w:val="nil"/>
              <w:left w:val="nil"/>
              <w:bottom w:val="single" w:color="auto" w:sz="4" w:space="0"/>
              <w:right w:val="single" w:color="auto" w:sz="4" w:space="0"/>
            </w:tcBorders>
            <w:vAlign w:val="center"/>
          </w:tcPr>
          <w:p w14:paraId="5556DF05">
            <w:pPr>
              <w:spacing w:line="400" w:lineRule="exact"/>
              <w:jc w:val="center"/>
              <w:rPr>
                <w:rFonts w:ascii="仿宋_GB2312" w:hAnsi="宋体" w:eastAsia="仿宋_GB2312"/>
                <w:sz w:val="24"/>
                <w:szCs w:val="24"/>
                <w:highlight w:val="yellow"/>
              </w:rPr>
            </w:pPr>
            <w:r>
              <w:rPr>
                <w:rFonts w:hint="eastAsia" w:ascii="仿宋_GB2312" w:hAnsi="宋体" w:eastAsia="仿宋_GB2312"/>
                <w:sz w:val="24"/>
                <w:szCs w:val="24"/>
              </w:rPr>
              <w:t>上海、江苏、浙江、安徽、福建、江西、山东</w:t>
            </w:r>
          </w:p>
        </w:tc>
        <w:tc>
          <w:tcPr>
            <w:tcW w:w="2442" w:type="dxa"/>
            <w:tcBorders>
              <w:top w:val="nil"/>
              <w:left w:val="nil"/>
              <w:bottom w:val="single" w:color="auto" w:sz="4" w:space="0"/>
              <w:right w:val="single" w:color="auto" w:sz="4" w:space="0"/>
            </w:tcBorders>
            <w:vAlign w:val="center"/>
          </w:tcPr>
          <w:p w14:paraId="3F7282E3">
            <w:pPr>
              <w:spacing w:line="400" w:lineRule="exact"/>
              <w:jc w:val="center"/>
              <w:rPr>
                <w:rFonts w:ascii="仿宋_GB2312" w:hAnsi="宋体" w:eastAsia="仿宋_GB2312"/>
                <w:sz w:val="24"/>
                <w:szCs w:val="24"/>
                <w:highlight w:val="yellow"/>
              </w:rPr>
            </w:pPr>
            <w:r>
              <w:rPr>
                <w:rFonts w:hint="eastAsia" w:ascii="仿宋_GB2312" w:hAnsi="宋体" w:eastAsia="仿宋_GB2312"/>
                <w:sz w:val="24"/>
                <w:szCs w:val="24"/>
              </w:rPr>
              <w:t>210</w:t>
            </w:r>
          </w:p>
        </w:tc>
      </w:tr>
      <w:tr w14:paraId="25D0A3ED">
        <w:tblPrEx>
          <w:tblCellMar>
            <w:top w:w="0" w:type="dxa"/>
            <w:left w:w="108" w:type="dxa"/>
            <w:bottom w:w="0" w:type="dxa"/>
            <w:right w:w="108" w:type="dxa"/>
          </w:tblCellMar>
        </w:tblPrEx>
        <w:trPr>
          <w:trHeight w:val="45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4E28E292">
            <w:pPr>
              <w:spacing w:line="400" w:lineRule="exact"/>
              <w:jc w:val="center"/>
              <w:rPr>
                <w:rFonts w:ascii="仿宋_GB2312" w:hAnsi="宋体" w:eastAsia="仿宋_GB2312"/>
                <w:sz w:val="24"/>
                <w:szCs w:val="24"/>
              </w:rPr>
            </w:pPr>
            <w:r>
              <w:rPr>
                <w:rFonts w:ascii="仿宋_GB2312" w:hAnsi="宋体" w:eastAsia="仿宋_GB2312"/>
                <w:sz w:val="24"/>
                <w:szCs w:val="24"/>
              </w:rPr>
              <w:t>4</w:t>
            </w:r>
          </w:p>
        </w:tc>
        <w:tc>
          <w:tcPr>
            <w:tcW w:w="0" w:type="auto"/>
            <w:tcBorders>
              <w:top w:val="nil"/>
              <w:left w:val="nil"/>
              <w:bottom w:val="single" w:color="auto" w:sz="4" w:space="0"/>
              <w:right w:val="single" w:color="auto" w:sz="4" w:space="0"/>
            </w:tcBorders>
            <w:shd w:val="clear" w:color="auto" w:fill="auto"/>
            <w:noWrap/>
            <w:vAlign w:val="center"/>
          </w:tcPr>
          <w:p w14:paraId="019E12EF">
            <w:pPr>
              <w:spacing w:line="400" w:lineRule="exact"/>
              <w:jc w:val="center"/>
              <w:rPr>
                <w:rFonts w:ascii="仿宋_GB2312" w:hAnsi="宋体" w:eastAsia="仿宋_GB2312"/>
                <w:sz w:val="24"/>
                <w:szCs w:val="24"/>
              </w:rPr>
            </w:pPr>
            <w:r>
              <w:rPr>
                <w:rFonts w:hint="eastAsia" w:ascii="仿宋_GB2312" w:hAnsi="宋体" w:eastAsia="仿宋_GB2312"/>
                <w:sz w:val="24"/>
                <w:szCs w:val="24"/>
              </w:rPr>
              <w:t>华中</w:t>
            </w:r>
          </w:p>
        </w:tc>
        <w:tc>
          <w:tcPr>
            <w:tcW w:w="2681" w:type="dxa"/>
            <w:tcBorders>
              <w:top w:val="nil"/>
              <w:left w:val="nil"/>
              <w:bottom w:val="single" w:color="auto" w:sz="4" w:space="0"/>
              <w:right w:val="single" w:color="auto" w:sz="4" w:space="0"/>
            </w:tcBorders>
            <w:shd w:val="clear" w:color="auto" w:fill="auto"/>
            <w:vAlign w:val="center"/>
          </w:tcPr>
          <w:p w14:paraId="12F7E0E0">
            <w:pPr>
              <w:spacing w:line="400" w:lineRule="exact"/>
              <w:jc w:val="center"/>
              <w:rPr>
                <w:rFonts w:ascii="仿宋_GB2312" w:hAnsi="宋体" w:eastAsia="仿宋_GB2312"/>
                <w:sz w:val="24"/>
                <w:szCs w:val="24"/>
              </w:rPr>
            </w:pPr>
            <w:r>
              <w:rPr>
                <w:rFonts w:hint="eastAsia" w:ascii="仿宋_GB2312" w:hAnsi="宋体" w:eastAsia="仿宋_GB2312"/>
                <w:sz w:val="24"/>
                <w:szCs w:val="24"/>
              </w:rPr>
              <w:t>河南、湖南、湖北</w:t>
            </w:r>
          </w:p>
        </w:tc>
        <w:tc>
          <w:tcPr>
            <w:tcW w:w="2268" w:type="dxa"/>
            <w:tcBorders>
              <w:top w:val="nil"/>
              <w:left w:val="nil"/>
              <w:bottom w:val="single" w:color="auto" w:sz="4" w:space="0"/>
              <w:right w:val="single" w:color="auto" w:sz="4" w:space="0"/>
            </w:tcBorders>
            <w:shd w:val="clear" w:color="auto" w:fill="auto"/>
            <w:noWrap/>
            <w:vAlign w:val="center"/>
          </w:tcPr>
          <w:p w14:paraId="1C4E7232">
            <w:pPr>
              <w:spacing w:line="400" w:lineRule="exact"/>
              <w:jc w:val="center"/>
              <w:rPr>
                <w:rFonts w:ascii="仿宋_GB2312" w:hAnsi="宋体" w:eastAsia="仿宋_GB2312"/>
                <w:sz w:val="24"/>
                <w:szCs w:val="24"/>
              </w:rPr>
            </w:pPr>
            <w:r>
              <w:rPr>
                <w:rFonts w:hint="eastAsia" w:ascii="仿宋_GB2312" w:hAnsi="宋体" w:eastAsia="仿宋_GB2312"/>
                <w:sz w:val="24"/>
                <w:szCs w:val="24"/>
              </w:rPr>
              <w:t>5.7</w:t>
            </w:r>
          </w:p>
        </w:tc>
        <w:tc>
          <w:tcPr>
            <w:tcW w:w="2268" w:type="dxa"/>
            <w:tcBorders>
              <w:top w:val="nil"/>
              <w:left w:val="nil"/>
              <w:bottom w:val="single" w:color="auto" w:sz="4" w:space="0"/>
              <w:right w:val="single" w:color="auto" w:sz="4" w:space="0"/>
            </w:tcBorders>
            <w:shd w:val="clear" w:color="auto" w:fill="auto"/>
            <w:noWrap/>
            <w:vAlign w:val="center"/>
          </w:tcPr>
          <w:p w14:paraId="2D1B6EBD">
            <w:pPr>
              <w:spacing w:line="400" w:lineRule="exact"/>
              <w:jc w:val="center"/>
              <w:rPr>
                <w:rFonts w:ascii="仿宋_GB2312" w:hAnsi="宋体" w:eastAsia="仿宋_GB2312"/>
                <w:sz w:val="24"/>
                <w:szCs w:val="24"/>
              </w:rPr>
            </w:pPr>
            <w:r>
              <w:rPr>
                <w:rFonts w:hint="eastAsia" w:ascii="仿宋_GB2312" w:hAnsi="宋体" w:eastAsia="仿宋_GB2312"/>
                <w:sz w:val="24"/>
                <w:szCs w:val="24"/>
              </w:rPr>
              <w:t>100</w:t>
            </w:r>
          </w:p>
        </w:tc>
        <w:tc>
          <w:tcPr>
            <w:tcW w:w="3119" w:type="dxa"/>
            <w:tcBorders>
              <w:top w:val="nil"/>
              <w:left w:val="nil"/>
              <w:bottom w:val="single" w:color="auto" w:sz="4" w:space="0"/>
              <w:right w:val="single" w:color="auto" w:sz="4" w:space="0"/>
            </w:tcBorders>
            <w:vAlign w:val="center"/>
          </w:tcPr>
          <w:p w14:paraId="7B937032">
            <w:pPr>
              <w:spacing w:line="400" w:lineRule="exact"/>
              <w:jc w:val="center"/>
              <w:rPr>
                <w:rFonts w:ascii="仿宋_GB2312" w:hAnsi="宋体" w:eastAsia="仿宋_GB2312"/>
                <w:sz w:val="24"/>
                <w:szCs w:val="24"/>
                <w:highlight w:val="yellow"/>
              </w:rPr>
            </w:pPr>
            <w:r>
              <w:rPr>
                <w:rFonts w:hint="eastAsia" w:ascii="仿宋_GB2312" w:hAnsi="宋体" w:eastAsia="仿宋_GB2312"/>
                <w:sz w:val="24"/>
                <w:szCs w:val="24"/>
              </w:rPr>
              <w:t>河南、湖南、湖北</w:t>
            </w:r>
          </w:p>
        </w:tc>
        <w:tc>
          <w:tcPr>
            <w:tcW w:w="2442" w:type="dxa"/>
            <w:tcBorders>
              <w:top w:val="nil"/>
              <w:left w:val="nil"/>
              <w:bottom w:val="single" w:color="auto" w:sz="4" w:space="0"/>
              <w:right w:val="single" w:color="auto" w:sz="4" w:space="0"/>
            </w:tcBorders>
            <w:vAlign w:val="center"/>
          </w:tcPr>
          <w:p w14:paraId="46E1C688">
            <w:pPr>
              <w:spacing w:line="400" w:lineRule="exact"/>
              <w:jc w:val="center"/>
              <w:rPr>
                <w:rFonts w:ascii="仿宋_GB2312" w:hAnsi="宋体" w:eastAsia="仿宋_GB2312"/>
                <w:sz w:val="24"/>
                <w:szCs w:val="24"/>
                <w:highlight w:val="yellow"/>
              </w:rPr>
            </w:pPr>
            <w:r>
              <w:rPr>
                <w:rFonts w:hint="eastAsia" w:ascii="仿宋_GB2312" w:hAnsi="宋体" w:eastAsia="仿宋_GB2312"/>
                <w:sz w:val="24"/>
                <w:szCs w:val="24"/>
              </w:rPr>
              <w:t>140</w:t>
            </w:r>
          </w:p>
        </w:tc>
      </w:tr>
      <w:tr w14:paraId="330993A5">
        <w:tblPrEx>
          <w:tblCellMar>
            <w:top w:w="0" w:type="dxa"/>
            <w:left w:w="108" w:type="dxa"/>
            <w:bottom w:w="0" w:type="dxa"/>
            <w:right w:w="108" w:type="dxa"/>
          </w:tblCellMar>
        </w:tblPrEx>
        <w:trPr>
          <w:trHeight w:val="45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7E4E21CA">
            <w:pPr>
              <w:spacing w:line="400" w:lineRule="exact"/>
              <w:jc w:val="center"/>
              <w:rPr>
                <w:rFonts w:ascii="仿宋_GB2312" w:hAnsi="宋体" w:eastAsia="仿宋_GB2312"/>
                <w:sz w:val="24"/>
                <w:szCs w:val="24"/>
              </w:rPr>
            </w:pPr>
            <w:r>
              <w:rPr>
                <w:rFonts w:ascii="仿宋_GB2312" w:hAnsi="宋体" w:eastAsia="仿宋_GB2312"/>
                <w:sz w:val="24"/>
                <w:szCs w:val="24"/>
              </w:rPr>
              <w:t>5</w:t>
            </w:r>
          </w:p>
        </w:tc>
        <w:tc>
          <w:tcPr>
            <w:tcW w:w="0" w:type="auto"/>
            <w:tcBorders>
              <w:top w:val="nil"/>
              <w:left w:val="nil"/>
              <w:bottom w:val="single" w:color="auto" w:sz="4" w:space="0"/>
              <w:right w:val="single" w:color="auto" w:sz="4" w:space="0"/>
            </w:tcBorders>
            <w:shd w:val="clear" w:color="auto" w:fill="auto"/>
            <w:noWrap/>
            <w:vAlign w:val="center"/>
          </w:tcPr>
          <w:p w14:paraId="5076BFAE">
            <w:pPr>
              <w:spacing w:line="400" w:lineRule="exact"/>
              <w:jc w:val="center"/>
              <w:rPr>
                <w:rFonts w:ascii="仿宋_GB2312" w:hAnsi="宋体" w:eastAsia="仿宋_GB2312"/>
                <w:sz w:val="24"/>
                <w:szCs w:val="24"/>
              </w:rPr>
            </w:pPr>
            <w:r>
              <w:rPr>
                <w:rFonts w:hint="eastAsia" w:ascii="仿宋_GB2312" w:hAnsi="宋体" w:eastAsia="仿宋_GB2312"/>
                <w:sz w:val="24"/>
                <w:szCs w:val="24"/>
              </w:rPr>
              <w:t>华南</w:t>
            </w:r>
          </w:p>
        </w:tc>
        <w:tc>
          <w:tcPr>
            <w:tcW w:w="2681" w:type="dxa"/>
            <w:tcBorders>
              <w:top w:val="nil"/>
              <w:left w:val="nil"/>
              <w:bottom w:val="single" w:color="auto" w:sz="4" w:space="0"/>
              <w:right w:val="single" w:color="auto" w:sz="4" w:space="0"/>
            </w:tcBorders>
            <w:shd w:val="clear" w:color="auto" w:fill="auto"/>
            <w:vAlign w:val="center"/>
          </w:tcPr>
          <w:p w14:paraId="2AD8204D">
            <w:pPr>
              <w:spacing w:line="400" w:lineRule="exact"/>
              <w:jc w:val="center"/>
              <w:rPr>
                <w:rFonts w:ascii="仿宋_GB2312" w:hAnsi="宋体" w:eastAsia="仿宋_GB2312"/>
                <w:sz w:val="24"/>
                <w:szCs w:val="24"/>
              </w:rPr>
            </w:pPr>
            <w:r>
              <w:rPr>
                <w:rFonts w:hint="eastAsia" w:ascii="仿宋_GB2312" w:hAnsi="宋体" w:eastAsia="仿宋_GB2312"/>
                <w:sz w:val="24"/>
                <w:szCs w:val="24"/>
              </w:rPr>
              <w:t>广东、广西等</w:t>
            </w:r>
          </w:p>
        </w:tc>
        <w:tc>
          <w:tcPr>
            <w:tcW w:w="2268" w:type="dxa"/>
            <w:tcBorders>
              <w:top w:val="nil"/>
              <w:left w:val="nil"/>
              <w:bottom w:val="single" w:color="auto" w:sz="4" w:space="0"/>
              <w:right w:val="single" w:color="auto" w:sz="4" w:space="0"/>
            </w:tcBorders>
            <w:shd w:val="clear" w:color="auto" w:fill="auto"/>
            <w:noWrap/>
            <w:vAlign w:val="center"/>
          </w:tcPr>
          <w:p w14:paraId="46F5D2C4">
            <w:pPr>
              <w:spacing w:line="400" w:lineRule="exact"/>
              <w:jc w:val="center"/>
              <w:rPr>
                <w:rFonts w:ascii="仿宋_GB2312" w:hAnsi="宋体" w:eastAsia="仿宋_GB2312"/>
                <w:sz w:val="24"/>
                <w:szCs w:val="24"/>
              </w:rPr>
            </w:pPr>
            <w:r>
              <w:rPr>
                <w:rFonts w:hint="eastAsia" w:ascii="仿宋_GB2312" w:hAnsi="宋体" w:eastAsia="仿宋_GB2312"/>
                <w:sz w:val="24"/>
                <w:szCs w:val="24"/>
              </w:rPr>
              <w:t>5</w:t>
            </w:r>
          </w:p>
        </w:tc>
        <w:tc>
          <w:tcPr>
            <w:tcW w:w="2268" w:type="dxa"/>
            <w:tcBorders>
              <w:top w:val="nil"/>
              <w:left w:val="nil"/>
              <w:bottom w:val="single" w:color="auto" w:sz="4" w:space="0"/>
              <w:right w:val="single" w:color="auto" w:sz="4" w:space="0"/>
            </w:tcBorders>
            <w:shd w:val="clear" w:color="auto" w:fill="auto"/>
            <w:noWrap/>
            <w:vAlign w:val="center"/>
          </w:tcPr>
          <w:p w14:paraId="0A77B79A">
            <w:pPr>
              <w:spacing w:line="400" w:lineRule="exact"/>
              <w:jc w:val="center"/>
              <w:rPr>
                <w:rFonts w:ascii="仿宋_GB2312" w:hAnsi="宋体" w:eastAsia="仿宋_GB2312"/>
                <w:sz w:val="24"/>
                <w:szCs w:val="24"/>
              </w:rPr>
            </w:pPr>
            <w:r>
              <w:rPr>
                <w:rFonts w:hint="eastAsia" w:ascii="仿宋_GB2312" w:hAnsi="宋体" w:eastAsia="仿宋_GB2312"/>
                <w:sz w:val="24"/>
                <w:szCs w:val="24"/>
              </w:rPr>
              <w:t>70</w:t>
            </w:r>
          </w:p>
        </w:tc>
        <w:tc>
          <w:tcPr>
            <w:tcW w:w="3119" w:type="dxa"/>
            <w:tcBorders>
              <w:top w:val="nil"/>
              <w:left w:val="nil"/>
              <w:bottom w:val="single" w:color="auto" w:sz="4" w:space="0"/>
              <w:right w:val="single" w:color="auto" w:sz="4" w:space="0"/>
            </w:tcBorders>
            <w:vAlign w:val="center"/>
          </w:tcPr>
          <w:p w14:paraId="1974E0F3">
            <w:pPr>
              <w:spacing w:line="400" w:lineRule="exact"/>
              <w:jc w:val="center"/>
              <w:rPr>
                <w:rFonts w:ascii="仿宋_GB2312" w:hAnsi="宋体" w:eastAsia="仿宋_GB2312"/>
                <w:sz w:val="24"/>
                <w:szCs w:val="24"/>
                <w:highlight w:val="yellow"/>
              </w:rPr>
            </w:pPr>
            <w:r>
              <w:rPr>
                <w:rFonts w:hint="eastAsia" w:ascii="仿宋_GB2312" w:hAnsi="宋体" w:eastAsia="仿宋_GB2312"/>
                <w:sz w:val="24"/>
                <w:szCs w:val="24"/>
              </w:rPr>
              <w:t>广东、海南、广西</w:t>
            </w:r>
          </w:p>
        </w:tc>
        <w:tc>
          <w:tcPr>
            <w:tcW w:w="2442" w:type="dxa"/>
            <w:tcBorders>
              <w:top w:val="nil"/>
              <w:left w:val="nil"/>
              <w:bottom w:val="single" w:color="auto" w:sz="4" w:space="0"/>
              <w:right w:val="single" w:color="auto" w:sz="4" w:space="0"/>
            </w:tcBorders>
            <w:vAlign w:val="center"/>
          </w:tcPr>
          <w:p w14:paraId="15BB0986">
            <w:pPr>
              <w:spacing w:line="400" w:lineRule="exact"/>
              <w:jc w:val="center"/>
              <w:rPr>
                <w:rFonts w:ascii="仿宋_GB2312" w:hAnsi="宋体" w:eastAsia="仿宋_GB2312"/>
                <w:sz w:val="24"/>
                <w:szCs w:val="24"/>
                <w:highlight w:val="yellow"/>
              </w:rPr>
            </w:pPr>
            <w:r>
              <w:rPr>
                <w:rFonts w:ascii="仿宋_GB2312" w:hAnsi="宋体" w:eastAsia="仿宋_GB2312"/>
                <w:sz w:val="24"/>
                <w:szCs w:val="24"/>
              </w:rPr>
              <w:t>65</w:t>
            </w:r>
          </w:p>
        </w:tc>
      </w:tr>
      <w:tr w14:paraId="6A4BF062">
        <w:tblPrEx>
          <w:tblCellMar>
            <w:top w:w="0" w:type="dxa"/>
            <w:left w:w="108" w:type="dxa"/>
            <w:bottom w:w="0" w:type="dxa"/>
            <w:right w:w="108" w:type="dxa"/>
          </w:tblCellMar>
        </w:tblPrEx>
        <w:trPr>
          <w:trHeight w:val="45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1D656576">
            <w:pPr>
              <w:spacing w:line="400" w:lineRule="exact"/>
              <w:jc w:val="center"/>
              <w:rPr>
                <w:rFonts w:ascii="仿宋_GB2312" w:hAnsi="宋体" w:eastAsia="仿宋_GB2312"/>
                <w:sz w:val="24"/>
                <w:szCs w:val="24"/>
              </w:rPr>
            </w:pPr>
            <w:r>
              <w:rPr>
                <w:rFonts w:ascii="仿宋_GB2312" w:hAnsi="宋体" w:eastAsia="仿宋_GB2312"/>
                <w:sz w:val="24"/>
                <w:szCs w:val="24"/>
              </w:rPr>
              <w:t>6</w:t>
            </w:r>
          </w:p>
        </w:tc>
        <w:tc>
          <w:tcPr>
            <w:tcW w:w="0" w:type="auto"/>
            <w:tcBorders>
              <w:top w:val="nil"/>
              <w:left w:val="nil"/>
              <w:bottom w:val="single" w:color="auto" w:sz="4" w:space="0"/>
              <w:right w:val="single" w:color="auto" w:sz="4" w:space="0"/>
            </w:tcBorders>
            <w:shd w:val="clear" w:color="auto" w:fill="auto"/>
            <w:noWrap/>
            <w:vAlign w:val="center"/>
          </w:tcPr>
          <w:p w14:paraId="6EC6C93B">
            <w:pPr>
              <w:spacing w:line="400" w:lineRule="exact"/>
              <w:jc w:val="center"/>
              <w:rPr>
                <w:rFonts w:ascii="仿宋_GB2312" w:hAnsi="宋体" w:eastAsia="仿宋_GB2312"/>
                <w:sz w:val="24"/>
                <w:szCs w:val="24"/>
              </w:rPr>
            </w:pPr>
            <w:r>
              <w:rPr>
                <w:rFonts w:hint="eastAsia" w:ascii="仿宋_GB2312" w:hAnsi="宋体" w:eastAsia="仿宋_GB2312"/>
                <w:sz w:val="24"/>
                <w:szCs w:val="24"/>
              </w:rPr>
              <w:t>西南</w:t>
            </w:r>
          </w:p>
        </w:tc>
        <w:tc>
          <w:tcPr>
            <w:tcW w:w="2681" w:type="dxa"/>
            <w:tcBorders>
              <w:top w:val="nil"/>
              <w:left w:val="single" w:color="auto" w:sz="4" w:space="0"/>
              <w:bottom w:val="nil"/>
              <w:right w:val="single" w:color="auto" w:sz="4" w:space="0"/>
            </w:tcBorders>
            <w:shd w:val="clear" w:color="auto" w:fill="auto"/>
            <w:vAlign w:val="center"/>
          </w:tcPr>
          <w:p w14:paraId="231F7CA5">
            <w:pPr>
              <w:spacing w:line="400" w:lineRule="exact"/>
              <w:jc w:val="center"/>
              <w:rPr>
                <w:rFonts w:ascii="仿宋_GB2312" w:hAnsi="宋体" w:eastAsia="仿宋_GB2312"/>
                <w:sz w:val="24"/>
                <w:szCs w:val="24"/>
              </w:rPr>
            </w:pPr>
            <w:r>
              <w:rPr>
                <w:rFonts w:hint="eastAsia" w:ascii="仿宋_GB2312" w:hAnsi="宋体" w:eastAsia="仿宋_GB2312"/>
                <w:sz w:val="24"/>
                <w:szCs w:val="24"/>
              </w:rPr>
              <w:t>重庆、四川、贵州、云南、西藏</w:t>
            </w:r>
          </w:p>
        </w:tc>
        <w:tc>
          <w:tcPr>
            <w:tcW w:w="2268" w:type="dxa"/>
            <w:tcBorders>
              <w:top w:val="nil"/>
              <w:left w:val="nil"/>
              <w:bottom w:val="single" w:color="auto" w:sz="4" w:space="0"/>
              <w:right w:val="single" w:color="auto" w:sz="4" w:space="0"/>
            </w:tcBorders>
            <w:shd w:val="clear" w:color="auto" w:fill="auto"/>
            <w:noWrap/>
            <w:vAlign w:val="center"/>
          </w:tcPr>
          <w:p w14:paraId="2183FDDF">
            <w:pPr>
              <w:spacing w:line="400" w:lineRule="exact"/>
              <w:jc w:val="center"/>
              <w:rPr>
                <w:rFonts w:ascii="仿宋_GB2312" w:hAnsi="宋体" w:eastAsia="仿宋_GB2312"/>
                <w:sz w:val="24"/>
                <w:szCs w:val="24"/>
              </w:rPr>
            </w:pPr>
            <w:r>
              <w:rPr>
                <w:rFonts w:hint="eastAsia" w:ascii="仿宋_GB2312" w:hAnsi="宋体" w:eastAsia="仿宋_GB2312"/>
                <w:sz w:val="24"/>
                <w:szCs w:val="24"/>
              </w:rPr>
              <w:t>5.7</w:t>
            </w:r>
          </w:p>
        </w:tc>
        <w:tc>
          <w:tcPr>
            <w:tcW w:w="2268" w:type="dxa"/>
            <w:tcBorders>
              <w:top w:val="nil"/>
              <w:left w:val="nil"/>
              <w:bottom w:val="single" w:color="auto" w:sz="4" w:space="0"/>
              <w:right w:val="single" w:color="auto" w:sz="4" w:space="0"/>
            </w:tcBorders>
            <w:shd w:val="clear" w:color="auto" w:fill="auto"/>
            <w:noWrap/>
            <w:vAlign w:val="center"/>
          </w:tcPr>
          <w:p w14:paraId="58776E51">
            <w:pPr>
              <w:spacing w:line="400" w:lineRule="exact"/>
              <w:jc w:val="center"/>
              <w:rPr>
                <w:rFonts w:ascii="仿宋_GB2312" w:hAnsi="宋体" w:eastAsia="仿宋_GB2312"/>
                <w:sz w:val="24"/>
                <w:szCs w:val="24"/>
              </w:rPr>
            </w:pPr>
            <w:r>
              <w:rPr>
                <w:rFonts w:hint="eastAsia" w:ascii="仿宋_GB2312" w:hAnsi="宋体" w:eastAsia="仿宋_GB2312"/>
                <w:sz w:val="24"/>
                <w:szCs w:val="24"/>
              </w:rPr>
              <w:t>120</w:t>
            </w:r>
          </w:p>
        </w:tc>
        <w:tc>
          <w:tcPr>
            <w:tcW w:w="3119" w:type="dxa"/>
            <w:tcBorders>
              <w:top w:val="nil"/>
              <w:left w:val="nil"/>
              <w:bottom w:val="single" w:color="auto" w:sz="4" w:space="0"/>
              <w:right w:val="single" w:color="auto" w:sz="4" w:space="0"/>
            </w:tcBorders>
            <w:vAlign w:val="center"/>
          </w:tcPr>
          <w:p w14:paraId="3D4038C2">
            <w:pPr>
              <w:spacing w:line="400" w:lineRule="exact"/>
              <w:jc w:val="center"/>
              <w:rPr>
                <w:rFonts w:ascii="仿宋_GB2312" w:hAnsi="宋体" w:eastAsia="仿宋_GB2312"/>
                <w:sz w:val="24"/>
                <w:szCs w:val="24"/>
                <w:highlight w:val="yellow"/>
              </w:rPr>
            </w:pPr>
            <w:r>
              <w:rPr>
                <w:rFonts w:hint="eastAsia" w:ascii="仿宋_GB2312" w:hAnsi="宋体" w:eastAsia="仿宋_GB2312"/>
                <w:sz w:val="24"/>
                <w:szCs w:val="24"/>
              </w:rPr>
              <w:t>重庆、四川、贵州、云南等</w:t>
            </w:r>
          </w:p>
        </w:tc>
        <w:tc>
          <w:tcPr>
            <w:tcW w:w="2442" w:type="dxa"/>
            <w:tcBorders>
              <w:top w:val="nil"/>
              <w:left w:val="nil"/>
              <w:bottom w:val="single" w:color="auto" w:sz="4" w:space="0"/>
              <w:right w:val="single" w:color="auto" w:sz="4" w:space="0"/>
            </w:tcBorders>
            <w:vAlign w:val="center"/>
          </w:tcPr>
          <w:p w14:paraId="6BB6A413">
            <w:pPr>
              <w:spacing w:line="400" w:lineRule="exact"/>
              <w:jc w:val="center"/>
              <w:rPr>
                <w:rFonts w:ascii="仿宋_GB2312" w:hAnsi="宋体" w:eastAsia="仿宋_GB2312"/>
                <w:sz w:val="24"/>
                <w:szCs w:val="24"/>
                <w:highlight w:val="yellow"/>
              </w:rPr>
            </w:pPr>
            <w:r>
              <w:rPr>
                <w:rFonts w:hint="eastAsia" w:ascii="仿宋_GB2312" w:hAnsi="宋体" w:eastAsia="仿宋_GB2312"/>
                <w:sz w:val="24"/>
                <w:szCs w:val="24"/>
              </w:rPr>
              <w:t>30</w:t>
            </w:r>
          </w:p>
        </w:tc>
      </w:tr>
      <w:tr w14:paraId="397F33D2">
        <w:tblPrEx>
          <w:tblCellMar>
            <w:top w:w="0" w:type="dxa"/>
            <w:left w:w="108" w:type="dxa"/>
            <w:bottom w:w="0" w:type="dxa"/>
            <w:right w:w="108" w:type="dxa"/>
          </w:tblCellMar>
        </w:tblPrEx>
        <w:trPr>
          <w:trHeight w:val="454" w:hRule="atLeast"/>
          <w:jc w:val="center"/>
        </w:trPr>
        <w:tc>
          <w:tcPr>
            <w:tcW w:w="0" w:type="auto"/>
            <w:tcBorders>
              <w:top w:val="nil"/>
              <w:left w:val="single" w:color="auto" w:sz="4" w:space="0"/>
              <w:bottom w:val="single" w:color="auto" w:sz="4" w:space="0"/>
              <w:right w:val="single" w:color="auto" w:sz="4" w:space="0"/>
            </w:tcBorders>
            <w:shd w:val="clear" w:color="auto" w:fill="auto"/>
            <w:noWrap/>
            <w:vAlign w:val="center"/>
          </w:tcPr>
          <w:p w14:paraId="33E81E05">
            <w:pPr>
              <w:spacing w:line="400" w:lineRule="exact"/>
              <w:jc w:val="center"/>
              <w:rPr>
                <w:rFonts w:ascii="仿宋_GB2312" w:hAnsi="宋体" w:eastAsia="仿宋_GB2312"/>
                <w:sz w:val="24"/>
                <w:szCs w:val="24"/>
              </w:rPr>
            </w:pPr>
            <w:r>
              <w:rPr>
                <w:rFonts w:hint="eastAsia" w:ascii="仿宋_GB2312" w:hAnsi="宋体" w:eastAsia="仿宋_GB2312"/>
                <w:sz w:val="24"/>
                <w:szCs w:val="24"/>
              </w:rPr>
              <w:t>7</w:t>
            </w:r>
          </w:p>
        </w:tc>
        <w:tc>
          <w:tcPr>
            <w:tcW w:w="0" w:type="auto"/>
            <w:tcBorders>
              <w:top w:val="nil"/>
              <w:left w:val="nil"/>
              <w:bottom w:val="single" w:color="auto" w:sz="4" w:space="0"/>
              <w:right w:val="single" w:color="auto" w:sz="4" w:space="0"/>
            </w:tcBorders>
            <w:shd w:val="clear" w:color="auto" w:fill="auto"/>
            <w:noWrap/>
            <w:vAlign w:val="center"/>
          </w:tcPr>
          <w:p w14:paraId="01E549E0">
            <w:pPr>
              <w:spacing w:line="400" w:lineRule="exact"/>
              <w:jc w:val="center"/>
              <w:rPr>
                <w:rFonts w:ascii="仿宋_GB2312" w:hAnsi="宋体" w:eastAsia="仿宋_GB2312"/>
                <w:sz w:val="24"/>
                <w:szCs w:val="24"/>
              </w:rPr>
            </w:pPr>
            <w:r>
              <w:rPr>
                <w:rFonts w:hint="eastAsia" w:ascii="仿宋_GB2312" w:hAnsi="宋体" w:eastAsia="仿宋_GB2312"/>
                <w:sz w:val="24"/>
                <w:szCs w:val="24"/>
              </w:rPr>
              <w:t>西北</w:t>
            </w:r>
          </w:p>
        </w:tc>
        <w:tc>
          <w:tcPr>
            <w:tcW w:w="2681" w:type="dxa"/>
            <w:tcBorders>
              <w:top w:val="single" w:color="auto" w:sz="4" w:space="0"/>
              <w:left w:val="nil"/>
              <w:bottom w:val="single" w:color="auto" w:sz="4" w:space="0"/>
              <w:right w:val="single" w:color="auto" w:sz="4" w:space="0"/>
            </w:tcBorders>
            <w:shd w:val="clear" w:color="auto" w:fill="auto"/>
            <w:vAlign w:val="center"/>
          </w:tcPr>
          <w:p w14:paraId="043F4662">
            <w:pPr>
              <w:spacing w:line="400" w:lineRule="exact"/>
              <w:jc w:val="center"/>
              <w:rPr>
                <w:rFonts w:ascii="仿宋_GB2312" w:hAnsi="宋体" w:eastAsia="仿宋_GB2312"/>
                <w:sz w:val="24"/>
                <w:szCs w:val="24"/>
              </w:rPr>
            </w:pPr>
            <w:r>
              <w:rPr>
                <w:rFonts w:hint="eastAsia" w:ascii="仿宋_GB2312" w:hAnsi="宋体" w:eastAsia="仿宋_GB2312"/>
                <w:sz w:val="24"/>
                <w:szCs w:val="24"/>
              </w:rPr>
              <w:t>陕西、甘肃等</w:t>
            </w:r>
          </w:p>
        </w:tc>
        <w:tc>
          <w:tcPr>
            <w:tcW w:w="2268" w:type="dxa"/>
            <w:tcBorders>
              <w:top w:val="nil"/>
              <w:left w:val="nil"/>
              <w:bottom w:val="single" w:color="auto" w:sz="4" w:space="0"/>
              <w:right w:val="single" w:color="auto" w:sz="4" w:space="0"/>
            </w:tcBorders>
            <w:shd w:val="clear" w:color="auto" w:fill="auto"/>
            <w:noWrap/>
            <w:vAlign w:val="center"/>
          </w:tcPr>
          <w:p w14:paraId="33EE16AD">
            <w:pPr>
              <w:spacing w:line="400" w:lineRule="exact"/>
              <w:jc w:val="center"/>
              <w:rPr>
                <w:rFonts w:ascii="仿宋_GB2312" w:hAnsi="宋体" w:eastAsia="仿宋_GB2312"/>
                <w:sz w:val="24"/>
                <w:szCs w:val="24"/>
              </w:rPr>
            </w:pPr>
            <w:r>
              <w:rPr>
                <w:rFonts w:hint="eastAsia" w:ascii="仿宋_GB2312" w:hAnsi="宋体" w:eastAsia="仿宋_GB2312"/>
                <w:sz w:val="24"/>
                <w:szCs w:val="24"/>
              </w:rPr>
              <w:t>1.5</w:t>
            </w:r>
          </w:p>
        </w:tc>
        <w:tc>
          <w:tcPr>
            <w:tcW w:w="2268" w:type="dxa"/>
            <w:tcBorders>
              <w:top w:val="nil"/>
              <w:left w:val="nil"/>
              <w:bottom w:val="single" w:color="auto" w:sz="4" w:space="0"/>
              <w:right w:val="single" w:color="auto" w:sz="4" w:space="0"/>
            </w:tcBorders>
            <w:shd w:val="clear" w:color="auto" w:fill="auto"/>
            <w:noWrap/>
            <w:vAlign w:val="center"/>
          </w:tcPr>
          <w:p w14:paraId="6200C959">
            <w:pPr>
              <w:spacing w:line="400" w:lineRule="exact"/>
              <w:jc w:val="center"/>
              <w:rPr>
                <w:rFonts w:ascii="仿宋_GB2312" w:hAnsi="宋体" w:eastAsia="仿宋_GB2312"/>
                <w:sz w:val="24"/>
                <w:szCs w:val="24"/>
              </w:rPr>
            </w:pPr>
            <w:r>
              <w:rPr>
                <w:rFonts w:hint="eastAsia" w:ascii="仿宋_GB2312" w:hAnsi="宋体" w:eastAsia="仿宋_GB2312"/>
                <w:sz w:val="24"/>
                <w:szCs w:val="24"/>
              </w:rPr>
              <w:t>30</w:t>
            </w:r>
          </w:p>
        </w:tc>
        <w:tc>
          <w:tcPr>
            <w:tcW w:w="3119" w:type="dxa"/>
            <w:tcBorders>
              <w:top w:val="nil"/>
              <w:left w:val="nil"/>
              <w:bottom w:val="single" w:color="auto" w:sz="4" w:space="0"/>
              <w:right w:val="single" w:color="auto" w:sz="4" w:space="0"/>
            </w:tcBorders>
            <w:vAlign w:val="center"/>
          </w:tcPr>
          <w:p w14:paraId="430EAD30">
            <w:pPr>
              <w:spacing w:line="400" w:lineRule="exact"/>
              <w:jc w:val="center"/>
              <w:rPr>
                <w:rFonts w:ascii="仿宋_GB2312" w:hAnsi="宋体" w:eastAsia="仿宋_GB2312"/>
                <w:sz w:val="24"/>
                <w:szCs w:val="24"/>
              </w:rPr>
            </w:pPr>
            <w:r>
              <w:rPr>
                <w:rFonts w:hint="eastAsia" w:ascii="仿宋_GB2312" w:hAnsi="宋体" w:eastAsia="仿宋_GB2312"/>
                <w:sz w:val="24"/>
                <w:szCs w:val="24"/>
              </w:rPr>
              <w:t>陕西、甘肃、青海、宁夏等</w:t>
            </w:r>
          </w:p>
        </w:tc>
        <w:tc>
          <w:tcPr>
            <w:tcW w:w="2442" w:type="dxa"/>
            <w:tcBorders>
              <w:top w:val="nil"/>
              <w:left w:val="nil"/>
              <w:bottom w:val="single" w:color="auto" w:sz="4" w:space="0"/>
              <w:right w:val="single" w:color="auto" w:sz="4" w:space="0"/>
            </w:tcBorders>
            <w:vAlign w:val="center"/>
          </w:tcPr>
          <w:p w14:paraId="60ECBB6A">
            <w:pPr>
              <w:spacing w:line="400" w:lineRule="exact"/>
              <w:jc w:val="center"/>
              <w:rPr>
                <w:rFonts w:ascii="仿宋_GB2312" w:hAnsi="宋体" w:eastAsia="仿宋_GB2312"/>
                <w:sz w:val="24"/>
                <w:szCs w:val="24"/>
              </w:rPr>
            </w:pPr>
            <w:r>
              <w:rPr>
                <w:rFonts w:hint="eastAsia" w:ascii="仿宋_GB2312" w:hAnsi="宋体" w:eastAsia="仿宋_GB2312"/>
                <w:sz w:val="24"/>
                <w:szCs w:val="24"/>
              </w:rPr>
              <w:t>35</w:t>
            </w:r>
          </w:p>
        </w:tc>
      </w:tr>
      <w:tr w14:paraId="2496C41D">
        <w:tblPrEx>
          <w:tblCellMar>
            <w:top w:w="0" w:type="dxa"/>
            <w:left w:w="108" w:type="dxa"/>
            <w:bottom w:w="0" w:type="dxa"/>
            <w:right w:w="108" w:type="dxa"/>
          </w:tblCellMar>
        </w:tblPrEx>
        <w:trPr>
          <w:trHeight w:val="454" w:hRule="atLeast"/>
          <w:jc w:val="center"/>
        </w:trPr>
        <w:tc>
          <w:tcPr>
            <w:tcW w:w="4077" w:type="dxa"/>
            <w:gridSpan w:val="3"/>
            <w:tcBorders>
              <w:top w:val="nil"/>
              <w:left w:val="single" w:color="auto" w:sz="4" w:space="0"/>
              <w:bottom w:val="single" w:color="auto" w:sz="4" w:space="0"/>
              <w:right w:val="single" w:color="auto" w:sz="4" w:space="0"/>
            </w:tcBorders>
            <w:shd w:val="clear" w:color="auto" w:fill="auto"/>
            <w:noWrap/>
            <w:vAlign w:val="center"/>
          </w:tcPr>
          <w:p w14:paraId="288B47AE">
            <w:pPr>
              <w:spacing w:line="400" w:lineRule="exact"/>
              <w:jc w:val="center"/>
              <w:rPr>
                <w:rFonts w:ascii="仿宋_GB2312" w:hAnsi="宋体" w:eastAsia="仿宋_GB2312"/>
                <w:b/>
                <w:sz w:val="24"/>
                <w:szCs w:val="24"/>
              </w:rPr>
            </w:pPr>
            <w:r>
              <w:rPr>
                <w:rFonts w:hint="eastAsia" w:ascii="仿宋_GB2312" w:hAnsi="宋体" w:eastAsia="仿宋_GB2312"/>
                <w:b/>
                <w:sz w:val="24"/>
                <w:szCs w:val="24"/>
              </w:rPr>
              <w:t>总</w:t>
            </w:r>
            <w:r>
              <w:rPr>
                <w:rFonts w:ascii="仿宋_GB2312" w:hAnsi="宋体" w:eastAsia="仿宋_GB2312"/>
                <w:b/>
                <w:sz w:val="24"/>
                <w:szCs w:val="24"/>
              </w:rPr>
              <w:t xml:space="preserve"> </w:t>
            </w:r>
            <w:r>
              <w:rPr>
                <w:rFonts w:hint="eastAsia" w:ascii="仿宋_GB2312" w:hAnsi="宋体" w:eastAsia="仿宋_GB2312"/>
                <w:b/>
                <w:sz w:val="24"/>
                <w:szCs w:val="24"/>
              </w:rPr>
              <w:t>计</w:t>
            </w:r>
          </w:p>
        </w:tc>
        <w:tc>
          <w:tcPr>
            <w:tcW w:w="2268" w:type="dxa"/>
            <w:tcBorders>
              <w:top w:val="nil"/>
              <w:left w:val="nil"/>
              <w:bottom w:val="single" w:color="auto" w:sz="4" w:space="0"/>
              <w:right w:val="single" w:color="auto" w:sz="4" w:space="0"/>
            </w:tcBorders>
            <w:shd w:val="clear" w:color="auto" w:fill="auto"/>
            <w:noWrap/>
            <w:vAlign w:val="center"/>
          </w:tcPr>
          <w:p w14:paraId="2CC01186">
            <w:pPr>
              <w:spacing w:line="400" w:lineRule="exact"/>
              <w:jc w:val="center"/>
              <w:rPr>
                <w:rFonts w:ascii="仿宋_GB2312" w:hAnsi="宋体" w:eastAsia="仿宋_GB2312"/>
                <w:b/>
                <w:sz w:val="24"/>
                <w:szCs w:val="24"/>
              </w:rPr>
            </w:pPr>
            <w:r>
              <w:rPr>
                <w:rFonts w:hint="eastAsia" w:ascii="仿宋_GB2312" w:hAnsi="宋体" w:eastAsia="仿宋_GB2312"/>
                <w:b/>
                <w:sz w:val="24"/>
                <w:szCs w:val="24"/>
              </w:rPr>
              <w:t>48</w:t>
            </w:r>
          </w:p>
        </w:tc>
        <w:tc>
          <w:tcPr>
            <w:tcW w:w="2268" w:type="dxa"/>
            <w:tcBorders>
              <w:top w:val="nil"/>
              <w:left w:val="nil"/>
              <w:bottom w:val="single" w:color="auto" w:sz="4" w:space="0"/>
              <w:right w:val="single" w:color="auto" w:sz="4" w:space="0"/>
            </w:tcBorders>
            <w:shd w:val="clear" w:color="auto" w:fill="auto"/>
            <w:noWrap/>
            <w:vAlign w:val="center"/>
          </w:tcPr>
          <w:p w14:paraId="3D4D90DB">
            <w:pPr>
              <w:spacing w:line="400" w:lineRule="exact"/>
              <w:jc w:val="center"/>
              <w:rPr>
                <w:rFonts w:ascii="仿宋_GB2312" w:hAnsi="宋体" w:eastAsia="仿宋_GB2312"/>
                <w:b/>
                <w:sz w:val="24"/>
                <w:szCs w:val="24"/>
              </w:rPr>
            </w:pPr>
            <w:r>
              <w:rPr>
                <w:rFonts w:ascii="仿宋_GB2312" w:hAnsi="宋体" w:eastAsia="仿宋_GB2312"/>
                <w:b/>
                <w:sz w:val="24"/>
                <w:szCs w:val="24"/>
              </w:rPr>
              <w:t>750</w:t>
            </w:r>
          </w:p>
        </w:tc>
        <w:tc>
          <w:tcPr>
            <w:tcW w:w="5561" w:type="dxa"/>
            <w:gridSpan w:val="2"/>
            <w:tcBorders>
              <w:top w:val="single" w:color="auto" w:sz="4" w:space="0"/>
              <w:left w:val="nil"/>
              <w:bottom w:val="single" w:color="auto" w:sz="4" w:space="0"/>
              <w:right w:val="single" w:color="auto" w:sz="4" w:space="0"/>
            </w:tcBorders>
            <w:shd w:val="clear" w:color="auto" w:fill="auto"/>
            <w:vAlign w:val="center"/>
          </w:tcPr>
          <w:p w14:paraId="767BBE3C">
            <w:pPr>
              <w:spacing w:line="400" w:lineRule="exact"/>
              <w:jc w:val="center"/>
              <w:rPr>
                <w:rFonts w:ascii="仿宋_GB2312" w:hAnsi="宋体" w:eastAsia="仿宋_GB2312"/>
                <w:b/>
                <w:sz w:val="24"/>
                <w:szCs w:val="24"/>
                <w:highlight w:val="yellow"/>
              </w:rPr>
            </w:pPr>
            <w:r>
              <w:rPr>
                <w:rFonts w:ascii="仿宋_GB2312" w:hAnsi="宋体" w:eastAsia="仿宋_GB2312"/>
                <w:b/>
                <w:sz w:val="24"/>
                <w:szCs w:val="24"/>
              </w:rPr>
              <w:t>700</w:t>
            </w:r>
          </w:p>
        </w:tc>
      </w:tr>
    </w:tbl>
    <w:p w14:paraId="352AB370">
      <w:pPr>
        <w:spacing w:before="78" w:after="78" w:line="360" w:lineRule="auto"/>
        <w:ind w:firstLine="602"/>
        <w:rPr>
          <w:rFonts w:ascii="仿宋_GB2312" w:eastAsia="仿宋_GB2312"/>
          <w:b/>
          <w:sz w:val="32"/>
          <w:szCs w:val="32"/>
        </w:rPr>
        <w:sectPr>
          <w:pgSz w:w="16838" w:h="11906" w:orient="landscape"/>
          <w:pgMar w:top="1800" w:right="1440" w:bottom="1800" w:left="1440" w:header="851" w:footer="992" w:gutter="0"/>
          <w:cols w:space="425" w:num="1"/>
          <w:docGrid w:type="lines" w:linePitch="381" w:charSpace="0"/>
        </w:sectPr>
      </w:pPr>
    </w:p>
    <w:p w14:paraId="6BFC06BB">
      <w:pPr>
        <w:spacing w:before="78" w:after="78" w:line="360" w:lineRule="auto"/>
        <w:ind w:firstLine="602"/>
        <w:rPr>
          <w:rFonts w:ascii="仿宋_GB2312" w:eastAsia="仿宋_GB2312"/>
          <w:b/>
          <w:sz w:val="32"/>
          <w:szCs w:val="32"/>
        </w:rPr>
      </w:pPr>
      <w:r>
        <w:rPr>
          <w:rFonts w:hint="eastAsia" w:ascii="仿宋_GB2312" w:eastAsia="仿宋_GB2312"/>
          <w:b/>
          <w:sz w:val="32"/>
          <w:szCs w:val="32"/>
        </w:rPr>
        <w:t>2、建设重点</w:t>
      </w:r>
    </w:p>
    <w:p w14:paraId="5BBBBA00">
      <w:pPr>
        <w:spacing w:line="360" w:lineRule="auto"/>
        <w:ind w:firstLine="643" w:firstLineChars="200"/>
        <w:rPr>
          <w:rFonts w:ascii="仿宋_GB2312" w:eastAsia="仿宋_GB2312"/>
          <w:sz w:val="32"/>
          <w:szCs w:val="32"/>
        </w:rPr>
      </w:pPr>
      <w:r>
        <w:rPr>
          <w:rFonts w:hint="eastAsia" w:ascii="仿宋_GB2312" w:eastAsia="仿宋_GB2312"/>
          <w:b/>
          <w:sz w:val="32"/>
          <w:szCs w:val="32"/>
        </w:rPr>
        <w:t>积极发展分布式农林生物质热电联产。</w:t>
      </w:r>
      <w:r>
        <w:rPr>
          <w:rFonts w:hint="eastAsia" w:ascii="仿宋_GB2312" w:eastAsia="仿宋_GB2312"/>
          <w:sz w:val="32"/>
          <w:szCs w:val="32"/>
        </w:rPr>
        <w:t>农林生物质发电全面转向分布式热电联产，推进新建热电联产项目，对原有纯发电项目进行热电联产改造，为县城、大乡镇供暖及为工业园区供热。加快推进糠醛渣、甘蔗渣等热电联产及产业升级。加强项目运行监管，杜绝掺烧煤炭、骗取补贴的行为。加强对发电规模的调控，对于国家支持政策以外的生物质发电方式，由地方出台支持措施。</w:t>
      </w:r>
    </w:p>
    <w:p w14:paraId="7DA4A66A">
      <w:pPr>
        <w:spacing w:line="360" w:lineRule="auto"/>
        <w:ind w:firstLine="643" w:firstLineChars="200"/>
        <w:rPr>
          <w:rFonts w:ascii="仿宋_GB2312" w:eastAsia="仿宋_GB2312"/>
          <w:sz w:val="32"/>
          <w:szCs w:val="32"/>
        </w:rPr>
      </w:pPr>
      <w:r>
        <w:rPr>
          <w:rFonts w:hint="eastAsia" w:ascii="仿宋_GB2312" w:eastAsia="仿宋_GB2312"/>
          <w:b/>
          <w:sz w:val="32"/>
          <w:szCs w:val="32"/>
        </w:rPr>
        <w:t>稳步发展城镇生活垃圾焚烧发电。</w:t>
      </w:r>
      <w:r>
        <w:rPr>
          <w:rFonts w:hint="eastAsia" w:ascii="仿宋_GB2312" w:eastAsia="仿宋_GB2312"/>
          <w:sz w:val="32"/>
          <w:szCs w:val="32"/>
        </w:rPr>
        <w:t>在做好环保、选址及社会稳定风险评估的前提下，在人口密集、具备条件的大中城市稳步推进生活垃圾焚烧发电项目建设。鼓励建设垃圾焚烧热电联产项目。加快应用现代垃圾焚烧处理及污染防治技术，提高垃圾焚烧发电环保水平。加强宣传和舆论引导，避免和减少邻避效应。</w:t>
      </w:r>
    </w:p>
    <w:p w14:paraId="7BF1C1BA">
      <w:pPr>
        <w:spacing w:line="360" w:lineRule="auto"/>
        <w:ind w:firstLine="643" w:firstLineChars="200"/>
        <w:rPr>
          <w:rFonts w:ascii="仿宋_GB2312" w:eastAsia="仿宋_GB2312"/>
          <w:sz w:val="32"/>
          <w:szCs w:val="32"/>
        </w:rPr>
      </w:pPr>
      <w:r>
        <w:rPr>
          <w:rFonts w:hint="eastAsia" w:ascii="仿宋_GB2312" w:eastAsia="仿宋_GB2312"/>
          <w:b/>
          <w:sz w:val="32"/>
          <w:szCs w:val="32"/>
        </w:rPr>
        <w:t>因地制宜发展沼气发电。</w:t>
      </w:r>
      <w:r>
        <w:rPr>
          <w:rFonts w:hint="eastAsia" w:ascii="仿宋_GB2312" w:eastAsia="仿宋_GB2312"/>
          <w:sz w:val="32"/>
          <w:szCs w:val="32"/>
        </w:rPr>
        <w:t>结合城镇垃圾填埋场布局，建设垃圾填埋气发电项目；积极推动酿酒、皮革等工业有机废水和城市生活污水处理沼气设施热电联产；结合农村规模化沼气工程建设，新建或改造沼气发电项目。积极推动沼气发电无障碍接入城乡配电网和并网运行。到2020年，沼气发电装机容量达到50万千瓦。</w:t>
      </w:r>
    </w:p>
    <w:p w14:paraId="2B0FA54D">
      <w:pPr>
        <w:spacing w:line="360" w:lineRule="auto"/>
        <w:ind w:firstLine="640" w:firstLineChars="200"/>
        <w:rPr>
          <w:rFonts w:ascii="仿宋_GB2312" w:eastAsia="仿宋_GB2312"/>
          <w:sz w:val="32"/>
          <w:szCs w:val="32"/>
        </w:rPr>
      </w:pPr>
    </w:p>
    <w:p w14:paraId="799C2896">
      <w:pPr>
        <w:spacing w:line="360" w:lineRule="auto"/>
        <w:ind w:firstLine="640" w:firstLineChars="200"/>
        <w:rPr>
          <w:rFonts w:ascii="仿宋_GB2312" w:eastAsia="仿宋_GB2312"/>
          <w:sz w:val="32"/>
          <w:szCs w:val="32"/>
        </w:rPr>
      </w:pPr>
    </w:p>
    <w:p w14:paraId="457AA032">
      <w:pPr>
        <w:spacing w:line="360" w:lineRule="auto"/>
        <w:ind w:firstLine="482" w:firstLineChars="150"/>
        <w:outlineLvl w:val="1"/>
        <w:rPr>
          <w:rFonts w:ascii="黑体" w:hAnsi="黑体" w:eastAsia="黑体"/>
          <w:b/>
          <w:sz w:val="32"/>
          <w:szCs w:val="32"/>
        </w:rPr>
      </w:pPr>
      <w:bookmarkStart w:id="20" w:name="_Toc457378378"/>
      <w:r>
        <w:rPr>
          <w:rFonts w:hint="eastAsia" w:ascii="黑体" w:hAnsi="黑体" w:eastAsia="黑体"/>
          <w:b/>
          <w:sz w:val="32"/>
          <w:szCs w:val="32"/>
        </w:rPr>
        <w:t>（四）加快生物液体燃料示范和推广</w:t>
      </w:r>
      <w:bookmarkEnd w:id="20"/>
    </w:p>
    <w:p w14:paraId="1F7C8AF3">
      <w:pPr>
        <w:spacing w:before="60" w:after="60" w:line="360" w:lineRule="auto"/>
        <w:ind w:firstLine="643" w:firstLineChars="200"/>
        <w:rPr>
          <w:rFonts w:ascii="仿宋_GB2312" w:eastAsia="仿宋_GB2312"/>
          <w:b/>
          <w:sz w:val="32"/>
          <w:szCs w:val="32"/>
        </w:rPr>
      </w:pPr>
      <w:r>
        <w:rPr>
          <w:rFonts w:ascii="仿宋_GB2312" w:eastAsia="仿宋_GB2312"/>
          <w:b/>
          <w:sz w:val="32"/>
          <w:szCs w:val="32"/>
        </w:rPr>
        <w:t>1、发展布局</w:t>
      </w:r>
    </w:p>
    <w:p w14:paraId="78B180F5">
      <w:pPr>
        <w:spacing w:line="360" w:lineRule="auto"/>
        <w:ind w:firstLine="640" w:firstLineChars="200"/>
        <w:rPr>
          <w:rFonts w:ascii="仿宋_GB2312" w:eastAsia="仿宋_GB2312"/>
          <w:sz w:val="32"/>
          <w:szCs w:val="32"/>
        </w:rPr>
      </w:pPr>
      <w:r>
        <w:rPr>
          <w:rFonts w:hint="eastAsia" w:ascii="仿宋_GB2312" w:eastAsia="仿宋_GB2312"/>
          <w:sz w:val="32"/>
          <w:szCs w:val="32"/>
        </w:rPr>
        <w:t>在玉米、水稻等主产区，结合陈次和重金属污染粮消纳，稳步扩大燃料乙醇生产和消费；根据资源条件，因地制宜开发建设以木薯为原料，以及利用荒地、盐碱地种植甜高粱等能源作物，建设燃料乙醇项目。加快推进先进生物液体燃料技术进步和产业化示范。到2020年，</w:t>
      </w:r>
      <w:r>
        <w:rPr>
          <w:rFonts w:eastAsia="仿宋_GB2312"/>
          <w:color w:val="000000"/>
          <w:sz w:val="32"/>
          <w:szCs w:val="32"/>
        </w:rPr>
        <w:t>生物液体燃料</w:t>
      </w:r>
      <w:r>
        <w:rPr>
          <w:rFonts w:hint="eastAsia" w:eastAsia="仿宋_GB2312"/>
          <w:color w:val="000000"/>
          <w:sz w:val="32"/>
          <w:szCs w:val="32"/>
        </w:rPr>
        <w:t>年</w:t>
      </w:r>
      <w:r>
        <w:rPr>
          <w:rFonts w:eastAsia="仿宋_GB2312"/>
          <w:color w:val="000000"/>
          <w:sz w:val="32"/>
          <w:szCs w:val="32"/>
        </w:rPr>
        <w:t>利用</w:t>
      </w:r>
      <w:r>
        <w:rPr>
          <w:rFonts w:ascii="仿宋_GB2312" w:eastAsia="仿宋_GB2312"/>
          <w:sz w:val="32"/>
          <w:szCs w:val="32"/>
        </w:rPr>
        <w:t>量达</w:t>
      </w:r>
      <w:r>
        <w:rPr>
          <w:rFonts w:hint="eastAsia" w:ascii="仿宋_GB2312" w:eastAsia="仿宋_GB2312"/>
          <w:sz w:val="32"/>
          <w:szCs w:val="32"/>
        </w:rPr>
        <w:t>到</w:t>
      </w:r>
      <w:r>
        <w:rPr>
          <w:rFonts w:ascii="仿宋_GB2312" w:eastAsia="仿宋_GB2312"/>
          <w:sz w:val="32"/>
          <w:szCs w:val="32"/>
        </w:rPr>
        <w:t>600万吨</w:t>
      </w:r>
      <w:r>
        <w:rPr>
          <w:rFonts w:hint="eastAsia" w:ascii="仿宋_GB2312" w:eastAsia="仿宋_GB2312"/>
          <w:sz w:val="32"/>
          <w:szCs w:val="32"/>
        </w:rPr>
        <w:t>以上</w:t>
      </w:r>
      <w:r>
        <w:rPr>
          <w:rFonts w:ascii="仿宋_GB2312" w:eastAsia="仿宋_GB2312"/>
          <w:sz w:val="32"/>
          <w:szCs w:val="32"/>
        </w:rPr>
        <w:t>。</w:t>
      </w:r>
    </w:p>
    <w:p w14:paraId="210FF962">
      <w:pPr>
        <w:spacing w:before="60" w:after="60" w:line="360" w:lineRule="auto"/>
        <w:ind w:firstLine="602"/>
        <w:rPr>
          <w:rFonts w:ascii="仿宋_GB2312" w:eastAsia="仿宋_GB2312"/>
          <w:b/>
          <w:sz w:val="32"/>
          <w:szCs w:val="32"/>
        </w:rPr>
      </w:pPr>
      <w:r>
        <w:rPr>
          <w:rFonts w:hint="eastAsia" w:ascii="仿宋_GB2312" w:eastAsia="仿宋_GB2312"/>
          <w:b/>
          <w:sz w:val="32"/>
          <w:szCs w:val="32"/>
        </w:rPr>
        <w:t>2、建设重点</w:t>
      </w:r>
    </w:p>
    <w:p w14:paraId="75EF1FA8">
      <w:pPr>
        <w:spacing w:line="360" w:lineRule="auto"/>
        <w:ind w:firstLine="643" w:firstLineChars="200"/>
        <w:rPr>
          <w:rFonts w:ascii="仿宋_GB2312" w:eastAsia="仿宋_GB2312"/>
          <w:sz w:val="32"/>
          <w:szCs w:val="32"/>
        </w:rPr>
      </w:pPr>
      <w:r>
        <w:rPr>
          <w:rFonts w:hint="eastAsia" w:ascii="仿宋_GB2312" w:eastAsia="仿宋_GB2312"/>
          <w:b/>
          <w:sz w:val="32"/>
          <w:szCs w:val="32"/>
        </w:rPr>
        <w:t>推进燃料乙醇推广应用。</w:t>
      </w:r>
      <w:r>
        <w:rPr>
          <w:rFonts w:hint="eastAsia" w:ascii="仿宋_GB2312" w:eastAsia="仿宋_GB2312"/>
          <w:sz w:val="32"/>
          <w:szCs w:val="32"/>
        </w:rPr>
        <w:t>大力发展纤维乙醇。立足国内自有技术力量，积极引进、消化、吸收国外先进经验，开展先进生物燃料产业示范项目建设；适度发展木薯等非粮燃料乙醇。合理利用国内外资源，促进原料多元化供应。选择木薯、甜高粱茎秆等原料丰富地区或利用边际土地和荒地种植能源作物，建设10万吨级燃料乙醇工程；控制总量发展粮食燃料乙醇。统筹粮食安全、食品安全和能源安全，以霉变玉米、毒素超标小麦、“镉大米”等为原料，在“问题粮食”集中区，适度扩大粮食燃料乙醇生产规模。</w:t>
      </w:r>
    </w:p>
    <w:p w14:paraId="40FF69E4">
      <w:pPr>
        <w:spacing w:line="360" w:lineRule="auto"/>
        <w:ind w:firstLine="643" w:firstLineChars="200"/>
        <w:rPr>
          <w:rFonts w:ascii="仿宋_GB2312" w:eastAsia="仿宋_GB2312"/>
          <w:sz w:val="32"/>
          <w:szCs w:val="32"/>
        </w:rPr>
      </w:pPr>
      <w:r>
        <w:rPr>
          <w:rFonts w:hint="eastAsia" w:ascii="仿宋_GB2312" w:eastAsia="仿宋_GB2312"/>
          <w:b/>
          <w:sz w:val="32"/>
          <w:szCs w:val="32"/>
        </w:rPr>
        <w:t>加快生物柴油在交通领域应用。</w:t>
      </w:r>
      <w:r>
        <w:rPr>
          <w:rFonts w:hint="eastAsia" w:ascii="仿宋_GB2312" w:eastAsia="仿宋_GB2312"/>
          <w:sz w:val="32"/>
          <w:szCs w:val="32"/>
        </w:rPr>
        <w:t>对生物柴油项目进行升级改造，提升产品质量，满足交通燃料品质需要。建立健全生物柴油产品标准体系。开展市场封闭推广示范，推进生物柴油在交通领域的应用。</w:t>
      </w:r>
    </w:p>
    <w:p w14:paraId="207B41A3">
      <w:pPr>
        <w:spacing w:line="360" w:lineRule="auto"/>
        <w:ind w:firstLine="643" w:firstLineChars="200"/>
        <w:sectPr>
          <w:pgSz w:w="11906" w:h="16838"/>
          <w:pgMar w:top="1440" w:right="1800" w:bottom="1440" w:left="1800" w:header="851" w:footer="992" w:gutter="0"/>
          <w:cols w:space="425" w:num="1"/>
          <w:docGrid w:type="lines" w:linePitch="312" w:charSpace="0"/>
        </w:sectPr>
      </w:pPr>
      <w:r>
        <w:rPr>
          <w:rFonts w:hint="eastAsia" w:ascii="仿宋_GB2312" w:eastAsia="仿宋_GB2312"/>
          <w:b/>
          <w:sz w:val="32"/>
          <w:szCs w:val="32"/>
        </w:rPr>
        <w:t>推进技术创新与多联产示范。</w:t>
      </w:r>
      <w:r>
        <w:rPr>
          <w:rFonts w:hint="eastAsia" w:ascii="仿宋_GB2312" w:eastAsia="仿宋_GB2312"/>
          <w:sz w:val="32"/>
          <w:szCs w:val="32"/>
        </w:rPr>
        <w:t>加强纤维素、微藻等原料生产生物液体燃料技术研发，促进大规模、低成本、高效率示范应用。加快非粮原料多联产生物液体燃料技术创新，建设万吨级综合利用示范工程。推进生物质转化合成高品位燃油和生物航空燃料产业化示范应用。</w:t>
      </w:r>
    </w:p>
    <w:p w14:paraId="7D2C4FFD">
      <w:pPr>
        <w:pStyle w:val="2"/>
        <w:spacing w:line="360" w:lineRule="auto"/>
        <w:rPr>
          <w:rFonts w:ascii="黑体" w:hAnsi="黑体" w:eastAsia="黑体"/>
          <w:b w:val="0"/>
          <w:sz w:val="36"/>
          <w:szCs w:val="36"/>
        </w:rPr>
      </w:pPr>
      <w:bookmarkStart w:id="21" w:name="_Toc457378379"/>
      <w:r>
        <w:rPr>
          <w:rFonts w:hint="eastAsia" w:ascii="黑体" w:hAnsi="黑体" w:eastAsia="黑体"/>
          <w:sz w:val="36"/>
          <w:szCs w:val="36"/>
        </w:rPr>
        <w:t>四、保障措施</w:t>
      </w:r>
      <w:bookmarkEnd w:id="21"/>
    </w:p>
    <w:p w14:paraId="78224678">
      <w:pPr>
        <w:spacing w:line="360" w:lineRule="auto"/>
        <w:ind w:firstLine="578" w:firstLineChars="180"/>
        <w:rPr>
          <w:rFonts w:ascii="仿宋_GB2312" w:eastAsia="仿宋_GB2312"/>
          <w:sz w:val="32"/>
          <w:szCs w:val="32"/>
          <w:highlight w:val="yellow"/>
        </w:rPr>
      </w:pPr>
      <w:r>
        <w:rPr>
          <w:rFonts w:hint="eastAsia" w:ascii="仿宋_GB2312" w:eastAsia="仿宋_GB2312"/>
          <w:b/>
          <w:sz w:val="32"/>
          <w:szCs w:val="32"/>
        </w:rPr>
        <w:t>1、协同推进。</w:t>
      </w:r>
      <w:r>
        <w:rPr>
          <w:rFonts w:hint="eastAsia" w:ascii="仿宋_GB2312" w:eastAsia="仿宋_GB2312"/>
          <w:sz w:val="32"/>
          <w:szCs w:val="32"/>
        </w:rPr>
        <w:t>将生物质能利用纳入国家能源、环保、农业战略，加强协调、协同推进，充分发挥生物质能综合效益，特别是在支持循环农业、促进县域生态环保方面的作用，推进生物质能开发利用。研究将生物质能纳入绿色消费配额及交易体系。</w:t>
      </w:r>
    </w:p>
    <w:p w14:paraId="28A3D41F">
      <w:pPr>
        <w:spacing w:line="360" w:lineRule="auto"/>
        <w:ind w:firstLine="578" w:firstLineChars="180"/>
        <w:rPr>
          <w:rFonts w:ascii="仿宋_GB2312" w:eastAsia="仿宋_GB2312"/>
          <w:sz w:val="32"/>
          <w:szCs w:val="32"/>
        </w:rPr>
      </w:pPr>
      <w:r>
        <w:rPr>
          <w:rFonts w:hint="eastAsia" w:ascii="仿宋_GB2312" w:eastAsia="仿宋_GB2312"/>
          <w:b/>
          <w:sz w:val="32"/>
          <w:szCs w:val="32"/>
        </w:rPr>
        <w:t>2、</w:t>
      </w:r>
      <w:r>
        <w:rPr>
          <w:rFonts w:ascii="仿宋_GB2312" w:eastAsia="仿宋_GB2312"/>
          <w:b/>
          <w:sz w:val="32"/>
          <w:szCs w:val="32"/>
        </w:rPr>
        <w:t>优先利用</w:t>
      </w:r>
      <w:r>
        <w:rPr>
          <w:rFonts w:hint="eastAsia" w:ascii="仿宋_GB2312" w:eastAsia="仿宋_GB2312"/>
          <w:b/>
          <w:sz w:val="32"/>
          <w:szCs w:val="32"/>
        </w:rPr>
        <w:t>。</w:t>
      </w:r>
      <w:r>
        <w:rPr>
          <w:rFonts w:hint="eastAsia" w:ascii="仿宋_GB2312" w:eastAsia="仿宋_GB2312"/>
          <w:sz w:val="32"/>
          <w:szCs w:val="32"/>
        </w:rPr>
        <w:t>落实国家有关可再生能源优先利用和全额保障性收购的要求，</w:t>
      </w:r>
      <w:r>
        <w:rPr>
          <w:rFonts w:ascii="仿宋_GB2312" w:eastAsia="仿宋_GB2312"/>
          <w:sz w:val="32"/>
          <w:szCs w:val="32"/>
        </w:rPr>
        <w:t>建立生物质能优先利用机制</w:t>
      </w:r>
      <w:r>
        <w:rPr>
          <w:rFonts w:hint="eastAsia" w:ascii="仿宋_GB2312" w:eastAsia="仿宋_GB2312"/>
          <w:sz w:val="32"/>
          <w:szCs w:val="32"/>
        </w:rPr>
        <w:t>，加强对</w:t>
      </w:r>
      <w:r>
        <w:rPr>
          <w:rFonts w:ascii="仿宋_GB2312" w:eastAsia="仿宋_GB2312"/>
          <w:sz w:val="32"/>
          <w:szCs w:val="32"/>
        </w:rPr>
        <w:t>燃气</w:t>
      </w:r>
      <w:r>
        <w:rPr>
          <w:rFonts w:hint="eastAsia" w:ascii="仿宋_GB2312" w:eastAsia="仿宋_GB2312"/>
          <w:sz w:val="32"/>
          <w:szCs w:val="32"/>
        </w:rPr>
        <w:t>、石油</w:t>
      </w:r>
      <w:r>
        <w:rPr>
          <w:rFonts w:ascii="仿宋_GB2312" w:eastAsia="仿宋_GB2312"/>
          <w:sz w:val="32"/>
          <w:szCs w:val="32"/>
        </w:rPr>
        <w:t>和电网企业</w:t>
      </w:r>
      <w:r>
        <w:rPr>
          <w:rFonts w:hint="eastAsia" w:ascii="仿宋_GB2312" w:eastAsia="仿宋_GB2312"/>
          <w:sz w:val="32"/>
          <w:szCs w:val="32"/>
        </w:rPr>
        <w:t>公平</w:t>
      </w:r>
      <w:r>
        <w:rPr>
          <w:rFonts w:ascii="仿宋_GB2312" w:eastAsia="仿宋_GB2312"/>
          <w:sz w:val="32"/>
          <w:szCs w:val="32"/>
        </w:rPr>
        <w:t>开放</w:t>
      </w:r>
      <w:r>
        <w:rPr>
          <w:rFonts w:hint="eastAsia" w:ascii="仿宋_GB2312" w:eastAsia="仿宋_GB2312"/>
          <w:sz w:val="32"/>
          <w:szCs w:val="32"/>
        </w:rPr>
        <w:t>接纳</w:t>
      </w:r>
      <w:r>
        <w:rPr>
          <w:rFonts w:ascii="仿宋_GB2312" w:eastAsia="仿宋_GB2312"/>
          <w:sz w:val="32"/>
          <w:szCs w:val="32"/>
        </w:rPr>
        <w:t>生物质能产品</w:t>
      </w:r>
      <w:r>
        <w:rPr>
          <w:rFonts w:hint="eastAsia" w:ascii="仿宋_GB2312" w:eastAsia="仿宋_GB2312"/>
          <w:sz w:val="32"/>
          <w:szCs w:val="32"/>
        </w:rPr>
        <w:t>的</w:t>
      </w:r>
      <w:r>
        <w:rPr>
          <w:rFonts w:ascii="仿宋_GB2312" w:eastAsia="仿宋_GB2312"/>
          <w:sz w:val="32"/>
          <w:szCs w:val="32"/>
        </w:rPr>
        <w:t>监管，</w:t>
      </w:r>
      <w:r>
        <w:rPr>
          <w:rFonts w:hint="eastAsia" w:ascii="仿宋_GB2312" w:eastAsia="仿宋_GB2312"/>
          <w:sz w:val="32"/>
          <w:szCs w:val="32"/>
        </w:rPr>
        <w:t>确保</w:t>
      </w:r>
      <w:r>
        <w:rPr>
          <w:rFonts w:ascii="仿宋_GB2312" w:eastAsia="仿宋_GB2312"/>
          <w:sz w:val="32"/>
          <w:szCs w:val="32"/>
        </w:rPr>
        <w:t>生</w:t>
      </w:r>
      <w:r>
        <w:rPr>
          <w:rFonts w:hint="eastAsia" w:ascii="仿宋_GB2312" w:eastAsia="仿宋_GB2312"/>
          <w:sz w:val="32"/>
          <w:szCs w:val="32"/>
        </w:rPr>
        <w:t>物</w:t>
      </w:r>
      <w:r>
        <w:rPr>
          <w:rFonts w:ascii="仿宋_GB2312" w:eastAsia="仿宋_GB2312"/>
          <w:sz w:val="32"/>
          <w:szCs w:val="32"/>
        </w:rPr>
        <w:t>天然气、液体燃料</w:t>
      </w:r>
      <w:r>
        <w:rPr>
          <w:rFonts w:hint="eastAsia" w:ascii="仿宋_GB2312" w:eastAsia="仿宋_GB2312"/>
          <w:sz w:val="32"/>
          <w:szCs w:val="32"/>
        </w:rPr>
        <w:t>、</w:t>
      </w:r>
      <w:r>
        <w:rPr>
          <w:rFonts w:ascii="仿宋_GB2312" w:eastAsia="仿宋_GB2312"/>
          <w:sz w:val="32"/>
          <w:szCs w:val="32"/>
        </w:rPr>
        <w:t>生物质发电无障碍接入燃气</w:t>
      </w:r>
      <w:r>
        <w:rPr>
          <w:rFonts w:hint="eastAsia" w:ascii="仿宋_GB2312" w:eastAsia="仿宋_GB2312"/>
          <w:sz w:val="32"/>
          <w:szCs w:val="32"/>
        </w:rPr>
        <w:t>管网、</w:t>
      </w:r>
      <w:r>
        <w:rPr>
          <w:rFonts w:ascii="仿宋_GB2312" w:eastAsia="仿宋_GB2312"/>
          <w:sz w:val="32"/>
          <w:szCs w:val="32"/>
        </w:rPr>
        <w:t>成品油销售网及城乡配电网</w:t>
      </w:r>
      <w:r>
        <w:rPr>
          <w:rFonts w:hint="eastAsia" w:ascii="仿宋_GB2312" w:eastAsia="仿宋_GB2312"/>
          <w:sz w:val="32"/>
          <w:szCs w:val="32"/>
        </w:rPr>
        <w:t>。</w:t>
      </w:r>
    </w:p>
    <w:p w14:paraId="24388DE3">
      <w:pPr>
        <w:ind w:firstLine="578" w:firstLineChars="180"/>
      </w:pPr>
      <w:r>
        <w:rPr>
          <w:rFonts w:ascii="仿宋_GB2312" w:eastAsia="仿宋_GB2312"/>
          <w:b/>
          <w:sz w:val="32"/>
          <w:szCs w:val="32"/>
        </w:rPr>
        <w:t>3</w:t>
      </w:r>
      <w:r>
        <w:rPr>
          <w:rFonts w:hint="eastAsia" w:ascii="仿宋_GB2312" w:eastAsia="仿宋_GB2312"/>
          <w:b/>
          <w:sz w:val="32"/>
          <w:szCs w:val="32"/>
        </w:rPr>
        <w:t>、加强规划。</w:t>
      </w:r>
      <w:r>
        <w:rPr>
          <w:rFonts w:hint="eastAsia" w:ascii="仿宋_GB2312" w:eastAsia="仿宋_GB2312"/>
          <w:sz w:val="32"/>
          <w:szCs w:val="32"/>
        </w:rPr>
        <w:t>将规划作为项目开发建设的主要依据，统筹生物质各类资源和各种利用方式，以省为单位编制生物质能开发利用规划。以县为单位编制生物天然气、生物成型燃料开发利用规划，做好与环保、农业等规划衔接。编制生物质热电联产区域专项规划。</w:t>
      </w:r>
      <w:r>
        <w:rPr>
          <w:rFonts w:ascii="仿宋_GB2312" w:eastAsia="仿宋_GB2312"/>
          <w:sz w:val="32"/>
          <w:szCs w:val="32"/>
        </w:rPr>
        <w:t>在规划指导下</w:t>
      </w:r>
      <w:r>
        <w:rPr>
          <w:rFonts w:hint="eastAsia" w:ascii="仿宋_GB2312" w:eastAsia="仿宋_GB2312"/>
          <w:sz w:val="32"/>
          <w:szCs w:val="32"/>
        </w:rPr>
        <w:t>,</w:t>
      </w:r>
      <w:r>
        <w:rPr>
          <w:rFonts w:ascii="仿宋_GB2312" w:eastAsia="仿宋_GB2312"/>
          <w:sz w:val="32"/>
          <w:szCs w:val="32"/>
        </w:rPr>
        <w:t>积极推进生物质能新技术和</w:t>
      </w:r>
      <w:r>
        <w:rPr>
          <w:rFonts w:hint="eastAsia" w:ascii="仿宋_GB2312" w:eastAsia="仿宋_GB2312"/>
          <w:sz w:val="32"/>
          <w:szCs w:val="32"/>
        </w:rPr>
        <w:t>新</w:t>
      </w:r>
      <w:r>
        <w:rPr>
          <w:rFonts w:ascii="仿宋_GB2312" w:eastAsia="仿宋_GB2312"/>
          <w:sz w:val="32"/>
          <w:szCs w:val="32"/>
        </w:rPr>
        <w:t>利用模式的示范建设</w:t>
      </w:r>
      <w:r>
        <w:rPr>
          <w:rFonts w:hint="eastAsia" w:ascii="仿宋_GB2312" w:eastAsia="仿宋_GB2312"/>
          <w:sz w:val="32"/>
          <w:szCs w:val="32"/>
        </w:rPr>
        <w:t>。</w:t>
      </w:r>
    </w:p>
    <w:p w14:paraId="3F8771AA">
      <w:pPr>
        <w:ind w:firstLine="578" w:firstLineChars="180"/>
      </w:pPr>
      <w:r>
        <w:rPr>
          <w:rFonts w:hint="eastAsia" w:ascii="仿宋_GB2312" w:eastAsia="仿宋_GB2312"/>
          <w:b/>
          <w:sz w:val="32"/>
          <w:szCs w:val="32"/>
        </w:rPr>
        <w:t>4、加大扶持。</w:t>
      </w:r>
      <w:r>
        <w:rPr>
          <w:rFonts w:hint="eastAsia" w:ascii="仿宋_GB2312" w:eastAsia="仿宋_GB2312"/>
          <w:sz w:val="32"/>
          <w:szCs w:val="32"/>
        </w:rPr>
        <w:t>发挥中央</w:t>
      </w:r>
      <w:r>
        <w:rPr>
          <w:rFonts w:ascii="仿宋_GB2312" w:eastAsia="仿宋_GB2312"/>
          <w:sz w:val="32"/>
          <w:szCs w:val="32"/>
        </w:rPr>
        <w:t>和地方</w:t>
      </w:r>
      <w:r>
        <w:rPr>
          <w:rFonts w:hint="eastAsia" w:ascii="仿宋_GB2312" w:eastAsia="仿宋_GB2312"/>
          <w:sz w:val="32"/>
          <w:szCs w:val="32"/>
        </w:rPr>
        <w:t>合力，</w:t>
      </w:r>
      <w:r>
        <w:rPr>
          <w:rFonts w:ascii="仿宋_GB2312" w:eastAsia="仿宋_GB2312"/>
          <w:sz w:val="32"/>
          <w:szCs w:val="32"/>
        </w:rPr>
        <w:t>完善</w:t>
      </w:r>
      <w:r>
        <w:rPr>
          <w:rFonts w:hint="eastAsia" w:ascii="仿宋_GB2312" w:eastAsia="仿宋_GB2312"/>
          <w:sz w:val="32"/>
          <w:szCs w:val="32"/>
        </w:rPr>
        <w:t>支持</w:t>
      </w:r>
      <w:r>
        <w:rPr>
          <w:rFonts w:ascii="仿宋_GB2312" w:eastAsia="仿宋_GB2312"/>
          <w:sz w:val="32"/>
          <w:szCs w:val="32"/>
        </w:rPr>
        <w:t>生物质能利用</w:t>
      </w:r>
      <w:r>
        <w:rPr>
          <w:rFonts w:hint="eastAsia" w:ascii="仿宋_GB2312" w:eastAsia="仿宋_GB2312"/>
          <w:sz w:val="32"/>
          <w:szCs w:val="32"/>
        </w:rPr>
        <w:t>政策措施体系。制定生物质发电全面转向热电联产的产业政策。研究出台生物天然气、生物质成型燃料供热和液体燃料终端补贴政策。</w:t>
      </w:r>
      <w:r>
        <w:rPr>
          <w:rFonts w:ascii="仿宋_GB2312" w:eastAsia="仿宋_GB2312"/>
          <w:sz w:val="32"/>
          <w:szCs w:val="32"/>
        </w:rPr>
        <w:t>积极支持民间资本进入生物质能领域。</w:t>
      </w:r>
      <w:r>
        <w:rPr>
          <w:rFonts w:hint="eastAsia" w:ascii="仿宋_GB2312" w:eastAsia="仿宋_GB2312"/>
          <w:sz w:val="32"/>
          <w:szCs w:val="32"/>
        </w:rPr>
        <w:t>引导地方出台措施支持现有政策之外的其他生物质发电方式。</w:t>
      </w:r>
    </w:p>
    <w:p w14:paraId="61490331">
      <w:pPr>
        <w:spacing w:line="360" w:lineRule="auto"/>
        <w:ind w:firstLine="578" w:firstLineChars="180"/>
        <w:rPr>
          <w:rFonts w:ascii="仿宋_GB2312" w:eastAsia="仿宋_GB2312"/>
          <w:b/>
          <w:sz w:val="32"/>
          <w:szCs w:val="32"/>
          <w:highlight w:val="yellow"/>
        </w:rPr>
      </w:pPr>
      <w:r>
        <w:rPr>
          <w:rFonts w:ascii="仿宋_GB2312" w:eastAsia="仿宋_GB2312"/>
          <w:b/>
          <w:sz w:val="32"/>
          <w:szCs w:val="32"/>
        </w:rPr>
        <w:t>5</w:t>
      </w:r>
      <w:r>
        <w:rPr>
          <w:rFonts w:hint="eastAsia" w:ascii="仿宋_GB2312" w:eastAsia="仿宋_GB2312"/>
          <w:b/>
          <w:sz w:val="32"/>
          <w:szCs w:val="32"/>
        </w:rPr>
        <w:t>、加强监管。</w:t>
      </w:r>
      <w:r>
        <w:rPr>
          <w:rFonts w:hint="eastAsia" w:ascii="仿宋_GB2312" w:eastAsia="仿宋_GB2312"/>
          <w:sz w:val="32"/>
          <w:szCs w:val="32"/>
        </w:rPr>
        <w:t>会同</w:t>
      </w:r>
      <w:r>
        <w:rPr>
          <w:rFonts w:ascii="仿宋_GB2312" w:eastAsia="仿宋_GB2312"/>
          <w:sz w:val="32"/>
          <w:szCs w:val="32"/>
        </w:rPr>
        <w:t>有关部门加强对生物质能项目建设和运行监管，保障产品质量和安全，加强标准认证管理，</w:t>
      </w:r>
      <w:r>
        <w:rPr>
          <w:rFonts w:hint="eastAsia" w:ascii="仿宋_GB2312" w:eastAsia="仿宋_GB2312"/>
          <w:sz w:val="32"/>
          <w:szCs w:val="32"/>
        </w:rPr>
        <w:t>做好环保监管</w:t>
      </w:r>
      <w:r>
        <w:rPr>
          <w:rFonts w:ascii="仿宋_GB2312" w:eastAsia="仿宋_GB2312"/>
          <w:sz w:val="32"/>
          <w:szCs w:val="32"/>
        </w:rPr>
        <w:t>，建立生物质能行业</w:t>
      </w:r>
      <w:r>
        <w:rPr>
          <w:rFonts w:hint="eastAsia" w:ascii="仿宋_GB2312" w:eastAsia="仿宋_GB2312"/>
          <w:sz w:val="32"/>
          <w:szCs w:val="32"/>
        </w:rPr>
        <w:t>监测</w:t>
      </w:r>
      <w:r>
        <w:rPr>
          <w:rFonts w:ascii="仿宋_GB2312" w:eastAsia="仿宋_GB2312"/>
          <w:sz w:val="32"/>
          <w:szCs w:val="32"/>
        </w:rPr>
        <w:t>平台和服务体系。</w:t>
      </w:r>
      <w:r>
        <w:rPr>
          <w:rFonts w:hint="eastAsia" w:ascii="仿宋_GB2312" w:eastAsia="仿宋_GB2312"/>
          <w:sz w:val="32"/>
          <w:szCs w:val="32"/>
        </w:rPr>
        <w:t>加强工程咨询、技术服务等产业能力建设，支撑生物质能产业可持续发展。</w:t>
      </w:r>
    </w:p>
    <w:p w14:paraId="56E06F8E">
      <w:pPr>
        <w:spacing w:line="360" w:lineRule="auto"/>
        <w:ind w:firstLine="578" w:firstLineChars="180"/>
        <w:rPr>
          <w:rFonts w:ascii="仿宋_GB2312" w:eastAsia="仿宋_GB2312"/>
          <w:b/>
          <w:sz w:val="32"/>
          <w:szCs w:val="32"/>
          <w:highlight w:val="yellow"/>
        </w:rPr>
      </w:pPr>
    </w:p>
    <w:p w14:paraId="4F8559E7">
      <w:pPr>
        <w:spacing w:line="360" w:lineRule="auto"/>
        <w:ind w:firstLine="578" w:firstLineChars="180"/>
        <w:rPr>
          <w:rFonts w:ascii="仿宋_GB2312" w:eastAsia="仿宋_GB2312"/>
          <w:b/>
          <w:sz w:val="32"/>
          <w:szCs w:val="32"/>
          <w:highlight w:val="yellow"/>
        </w:rPr>
      </w:pPr>
    </w:p>
    <w:p w14:paraId="6144888A">
      <w:pPr>
        <w:spacing w:line="360" w:lineRule="auto"/>
        <w:ind w:firstLine="578" w:firstLineChars="180"/>
        <w:rPr>
          <w:rFonts w:ascii="仿宋_GB2312" w:eastAsia="仿宋_GB2312"/>
          <w:b/>
          <w:sz w:val="32"/>
          <w:szCs w:val="32"/>
          <w:highlight w:val="yellow"/>
        </w:rPr>
      </w:pPr>
    </w:p>
    <w:p w14:paraId="2D8534EF">
      <w:pPr>
        <w:pStyle w:val="2"/>
        <w:spacing w:line="360" w:lineRule="auto"/>
        <w:rPr>
          <w:rFonts w:ascii="黑体" w:hAnsi="黑体" w:eastAsia="黑体"/>
          <w:sz w:val="36"/>
          <w:szCs w:val="36"/>
        </w:rPr>
        <w:sectPr>
          <w:pgSz w:w="11906" w:h="16838"/>
          <w:pgMar w:top="1440" w:right="1800" w:bottom="1440" w:left="1800" w:header="851" w:footer="992" w:gutter="0"/>
          <w:cols w:space="425" w:num="1"/>
          <w:docGrid w:type="lines" w:linePitch="312" w:charSpace="0"/>
        </w:sectPr>
      </w:pPr>
      <w:bookmarkStart w:id="22" w:name="_Toc306289190"/>
      <w:bookmarkStart w:id="23" w:name="_Toc306279980"/>
    </w:p>
    <w:p w14:paraId="571A99B2">
      <w:pPr>
        <w:pStyle w:val="2"/>
        <w:spacing w:line="360" w:lineRule="auto"/>
        <w:rPr>
          <w:rFonts w:ascii="黑体" w:hAnsi="黑体" w:eastAsia="黑体"/>
          <w:sz w:val="36"/>
          <w:szCs w:val="36"/>
        </w:rPr>
      </w:pPr>
      <w:bookmarkStart w:id="24" w:name="_Toc457378380"/>
      <w:r>
        <w:rPr>
          <w:rFonts w:hint="eastAsia" w:ascii="黑体" w:hAnsi="黑体" w:eastAsia="黑体"/>
          <w:sz w:val="36"/>
          <w:szCs w:val="36"/>
        </w:rPr>
        <w:t>五、投资估算和环境社会影响分析</w:t>
      </w:r>
      <w:bookmarkEnd w:id="22"/>
      <w:bookmarkEnd w:id="23"/>
      <w:bookmarkEnd w:id="24"/>
    </w:p>
    <w:p w14:paraId="28FB30FD">
      <w:pPr>
        <w:pStyle w:val="3"/>
        <w:spacing w:line="360" w:lineRule="auto"/>
        <w:rPr>
          <w:rFonts w:ascii="黑体" w:hAnsi="黑体" w:eastAsia="黑体"/>
          <w:sz w:val="32"/>
        </w:rPr>
      </w:pPr>
      <w:bookmarkStart w:id="25" w:name="_Toc457378381"/>
      <w:r>
        <w:rPr>
          <w:rFonts w:hint="eastAsia" w:ascii="黑体" w:hAnsi="黑体" w:eastAsia="黑体"/>
          <w:sz w:val="32"/>
        </w:rPr>
        <w:t>（一）投资估算</w:t>
      </w:r>
      <w:bookmarkEnd w:id="25"/>
    </w:p>
    <w:p w14:paraId="5F5D4210">
      <w:pPr>
        <w:spacing w:line="360" w:lineRule="auto"/>
      </w:pPr>
      <w:r>
        <w:rPr>
          <w:rFonts w:hint="eastAsia"/>
        </w:rPr>
        <w:t xml:space="preserve">   </w:t>
      </w:r>
      <w:r>
        <w:rPr>
          <w:rFonts w:hint="eastAsia" w:ascii="仿宋_GB2312" w:eastAsia="仿宋_GB2312"/>
          <w:sz w:val="32"/>
          <w:szCs w:val="32"/>
        </w:rPr>
        <w:t xml:space="preserve"> 到2020年，生物质能产业新增投资约1960亿元。其中，生物质发电新增投资约400亿元，生物天然气新增投资约1200亿元，生物质成型燃料供热产业新增投资约180亿元，生物液体燃料新增投资约180亿元。</w:t>
      </w:r>
    </w:p>
    <w:p w14:paraId="14B93241">
      <w:pPr>
        <w:pStyle w:val="3"/>
        <w:spacing w:line="360" w:lineRule="auto"/>
        <w:rPr>
          <w:rFonts w:ascii="黑体" w:hAnsi="黑体" w:eastAsia="黑体"/>
          <w:sz w:val="32"/>
        </w:rPr>
      </w:pPr>
      <w:bookmarkStart w:id="26" w:name="_Toc457378382"/>
      <w:r>
        <w:rPr>
          <w:rFonts w:hint="eastAsia" w:ascii="黑体" w:hAnsi="黑体" w:eastAsia="黑体"/>
          <w:sz w:val="32"/>
        </w:rPr>
        <w:t>（二）环境效益</w:t>
      </w:r>
      <w:bookmarkEnd w:id="26"/>
    </w:p>
    <w:p w14:paraId="2E3B791D">
      <w:pPr>
        <w:spacing w:line="360" w:lineRule="auto"/>
        <w:ind w:firstLine="576" w:firstLineChars="180"/>
        <w:rPr>
          <w:rFonts w:eastAsia="仿宋_GB2312"/>
          <w:kern w:val="0"/>
          <w:sz w:val="32"/>
          <w:szCs w:val="32"/>
        </w:rPr>
      </w:pPr>
      <w:r>
        <w:rPr>
          <w:rFonts w:hint="eastAsia" w:ascii="仿宋_GB2312" w:eastAsia="仿宋_GB2312"/>
          <w:sz w:val="32"/>
          <w:szCs w:val="32"/>
        </w:rPr>
        <w:t>生物质能</w:t>
      </w:r>
      <w:r>
        <w:rPr>
          <w:rFonts w:ascii="仿宋_GB2312" w:eastAsia="仿宋_GB2312"/>
          <w:sz w:val="32"/>
          <w:szCs w:val="32"/>
        </w:rPr>
        <w:t>产业</w:t>
      </w:r>
      <w:r>
        <w:rPr>
          <w:rFonts w:hint="eastAsia" w:ascii="仿宋_GB2312" w:eastAsia="仿宋_GB2312"/>
          <w:sz w:val="32"/>
          <w:szCs w:val="32"/>
        </w:rPr>
        <w:t>具备</w:t>
      </w:r>
      <w:r>
        <w:rPr>
          <w:rFonts w:ascii="仿宋_GB2312" w:eastAsia="仿宋_GB2312"/>
          <w:sz w:val="32"/>
          <w:szCs w:val="32"/>
        </w:rPr>
        <w:t>显著的</w:t>
      </w:r>
      <w:r>
        <w:rPr>
          <w:rFonts w:hint="eastAsia" w:ascii="仿宋_GB2312" w:eastAsia="仿宋_GB2312"/>
          <w:sz w:val="32"/>
          <w:szCs w:val="32"/>
        </w:rPr>
        <w:t>环境</w:t>
      </w:r>
      <w:r>
        <w:rPr>
          <w:rFonts w:ascii="仿宋_GB2312" w:eastAsia="仿宋_GB2312"/>
          <w:sz w:val="32"/>
          <w:szCs w:val="32"/>
        </w:rPr>
        <w:t>效益</w:t>
      </w:r>
      <w:r>
        <w:rPr>
          <w:rFonts w:hint="eastAsia" w:ascii="仿宋_GB2312" w:eastAsia="仿宋_GB2312"/>
          <w:sz w:val="32"/>
          <w:szCs w:val="32"/>
        </w:rPr>
        <w:t>。预计2020年，生物质能合计可替代化石能源总量约5800万吨，年减排二氧化碳约1.5亿吨，减少粉尘排放约5200万吨，减少二氧化硫排放约140万吨，减少氮氧化物排放约44万吨。</w:t>
      </w:r>
    </w:p>
    <w:p w14:paraId="56025301">
      <w:pPr>
        <w:pStyle w:val="3"/>
        <w:spacing w:line="360" w:lineRule="auto"/>
        <w:rPr>
          <w:rFonts w:ascii="黑体" w:hAnsi="黑体" w:eastAsia="黑体"/>
          <w:sz w:val="32"/>
        </w:rPr>
      </w:pPr>
      <w:bookmarkStart w:id="27" w:name="_Toc457378383"/>
      <w:r>
        <w:rPr>
          <w:rFonts w:hint="eastAsia" w:ascii="黑体" w:hAnsi="黑体" w:eastAsia="黑体"/>
          <w:sz w:val="32"/>
        </w:rPr>
        <w:t>（三）社会效益</w:t>
      </w:r>
      <w:bookmarkEnd w:id="27"/>
    </w:p>
    <w:p w14:paraId="505FCD6F">
      <w:pPr>
        <w:spacing w:line="360" w:lineRule="auto"/>
        <w:ind w:firstLine="640" w:firstLineChars="200"/>
        <w:rPr>
          <w:rFonts w:ascii="仿宋_GB2312" w:eastAsia="仿宋_GB2312"/>
          <w:sz w:val="32"/>
          <w:szCs w:val="32"/>
        </w:rPr>
      </w:pPr>
      <w:r>
        <w:rPr>
          <w:rFonts w:hint="eastAsia" w:ascii="仿宋_GB2312" w:eastAsia="仿宋_GB2312"/>
          <w:sz w:val="32"/>
          <w:szCs w:val="32"/>
        </w:rPr>
        <w:t>“十三五”期间，生物质重点产业将实现规模化发展，成为带动新型城镇化建设、农村经济发展的新型产业。预计到2020年，生物质能产业年销售收入约1200亿元，提供就业岗位400万个，农民收入增加200亿元，经济和社会效益明显。</w:t>
      </w:r>
    </w:p>
    <w:p w14:paraId="49688858">
      <w:pPr>
        <w:spacing w:line="360" w:lineRule="auto"/>
        <w:rPr>
          <w:rFonts w:ascii="仿宋_GB2312" w:eastAsia="仿宋_GB2312"/>
          <w:sz w:val="30"/>
          <w:szCs w:val="30"/>
        </w:rPr>
      </w:pPr>
    </w:p>
    <w:p w14:paraId="69B8D2D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E6F54">
    <w:pPr>
      <w:pStyle w:val="11"/>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F1E12">
    <w:pPr>
      <w:pStyle w:val="11"/>
      <w:jc w:val="center"/>
    </w:pPr>
    <w:r>
      <w:fldChar w:fldCharType="begin"/>
    </w:r>
    <w:r>
      <w:instrText xml:space="preserve"> PAGE   \* MERGEFORMAT </w:instrText>
    </w:r>
    <w:r>
      <w:fldChar w:fldCharType="separate"/>
    </w:r>
    <w:r>
      <w:rPr>
        <w:lang w:val="zh-CN"/>
      </w:rPr>
      <w:t>III</w:t>
    </w:r>
    <w:r>
      <w:rPr>
        <w:lang w:val="zh-CN"/>
      </w:rPr>
      <w:fldChar w:fldCharType="end"/>
    </w:r>
  </w:p>
  <w:p w14:paraId="433A1DBC">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0FE5F">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AB6FA0">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4265B"/>
    <w:rsid w:val="00072598"/>
    <w:rsid w:val="000B732E"/>
    <w:rsid w:val="00151E90"/>
    <w:rsid w:val="0024265B"/>
    <w:rsid w:val="004E23C9"/>
    <w:rsid w:val="004E2F00"/>
    <w:rsid w:val="006235B2"/>
    <w:rsid w:val="007E6D1D"/>
    <w:rsid w:val="007F725A"/>
    <w:rsid w:val="00811AEB"/>
    <w:rsid w:val="008F3DFD"/>
    <w:rsid w:val="614517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qFormat="1" w:unhideWhenUsed="0" w:uiPriority="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2"/>
      <w:lang w:val="en-US" w:eastAsia="zh-CN" w:bidi="ar-SA"/>
    </w:rPr>
  </w:style>
  <w:style w:type="paragraph" w:styleId="2">
    <w:name w:val="heading 1"/>
    <w:basedOn w:val="1"/>
    <w:next w:val="1"/>
    <w:link w:val="24"/>
    <w:qFormat/>
    <w:uiPriority w:val="9"/>
    <w:pPr>
      <w:keepNext/>
      <w:keepLines/>
      <w:spacing w:line="578" w:lineRule="auto"/>
      <w:outlineLvl w:val="0"/>
    </w:pPr>
    <w:rPr>
      <w:b/>
      <w:bCs/>
      <w:kern w:val="44"/>
      <w:szCs w:val="44"/>
    </w:rPr>
  </w:style>
  <w:style w:type="paragraph" w:styleId="3">
    <w:name w:val="heading 2"/>
    <w:basedOn w:val="1"/>
    <w:next w:val="1"/>
    <w:link w:val="25"/>
    <w:qFormat/>
    <w:uiPriority w:val="9"/>
    <w:pPr>
      <w:keepNext/>
      <w:keepLines/>
      <w:spacing w:before="240" w:after="240" w:line="416" w:lineRule="auto"/>
      <w:outlineLvl w:val="1"/>
    </w:pPr>
    <w:rPr>
      <w:rFonts w:ascii="Cambria" w:hAnsi="Cambria"/>
      <w:b/>
      <w:bCs/>
      <w:szCs w:val="32"/>
    </w:rPr>
  </w:style>
  <w:style w:type="paragraph" w:styleId="4">
    <w:name w:val="heading 3"/>
    <w:basedOn w:val="1"/>
    <w:next w:val="1"/>
    <w:link w:val="26"/>
    <w:qFormat/>
    <w:uiPriority w:val="9"/>
    <w:pPr>
      <w:keepNext/>
      <w:keepLines/>
      <w:spacing w:line="416" w:lineRule="auto"/>
      <w:ind w:left="840" w:leftChars="100" w:right="100" w:rightChars="100"/>
      <w:outlineLvl w:val="2"/>
    </w:pPr>
    <w:rPr>
      <w:b/>
      <w:bCs/>
      <w:szCs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7"/>
    <w:semiHidden/>
    <w:unhideWhenUsed/>
    <w:uiPriority w:val="99"/>
    <w:rPr>
      <w:rFonts w:ascii="宋体"/>
      <w:sz w:val="18"/>
      <w:szCs w:val="18"/>
    </w:rPr>
  </w:style>
  <w:style w:type="paragraph" w:styleId="6">
    <w:name w:val="annotation text"/>
    <w:basedOn w:val="1"/>
    <w:link w:val="39"/>
    <w:semiHidden/>
    <w:unhideWhenUsed/>
    <w:qFormat/>
    <w:uiPriority w:val="99"/>
    <w:pPr>
      <w:jc w:val="left"/>
    </w:pPr>
  </w:style>
  <w:style w:type="paragraph" w:styleId="7">
    <w:name w:val="Body Text"/>
    <w:basedOn w:val="1"/>
    <w:link w:val="30"/>
    <w:semiHidden/>
    <w:uiPriority w:val="0"/>
    <w:pPr>
      <w:spacing w:after="120" w:line="600" w:lineRule="exact"/>
      <w:ind w:firstLine="640" w:firstLineChars="200"/>
    </w:pPr>
    <w:rPr>
      <w:rFonts w:eastAsia="仿宋_GB2312"/>
      <w:sz w:val="32"/>
      <w:szCs w:val="32"/>
    </w:rPr>
  </w:style>
  <w:style w:type="paragraph" w:styleId="8">
    <w:name w:val="toc 3"/>
    <w:basedOn w:val="1"/>
    <w:next w:val="1"/>
    <w:autoRedefine/>
    <w:unhideWhenUsed/>
    <w:qFormat/>
    <w:uiPriority w:val="39"/>
    <w:pPr>
      <w:ind w:left="840" w:leftChars="400"/>
    </w:pPr>
  </w:style>
  <w:style w:type="paragraph" w:styleId="9">
    <w:name w:val="Date"/>
    <w:basedOn w:val="1"/>
    <w:next w:val="1"/>
    <w:link w:val="29"/>
    <w:semiHidden/>
    <w:unhideWhenUsed/>
    <w:uiPriority w:val="99"/>
    <w:pPr>
      <w:ind w:left="100" w:leftChars="2500"/>
    </w:pPr>
  </w:style>
  <w:style w:type="paragraph" w:styleId="10">
    <w:name w:val="Balloon Text"/>
    <w:basedOn w:val="1"/>
    <w:link w:val="35"/>
    <w:semiHidden/>
    <w:unhideWhenUsed/>
    <w:qFormat/>
    <w:uiPriority w:val="99"/>
    <w:rPr>
      <w:sz w:val="18"/>
      <w:szCs w:val="18"/>
    </w:rPr>
  </w:style>
  <w:style w:type="paragraph" w:styleId="11">
    <w:name w:val="footer"/>
    <w:basedOn w:val="1"/>
    <w:link w:val="23"/>
    <w:unhideWhenUsed/>
    <w:uiPriority w:val="99"/>
    <w:pPr>
      <w:tabs>
        <w:tab w:val="center" w:pos="4153"/>
        <w:tab w:val="right" w:pos="8306"/>
      </w:tabs>
      <w:snapToGrid w:val="0"/>
      <w:jc w:val="left"/>
    </w:pPr>
    <w:rPr>
      <w:sz w:val="18"/>
      <w:szCs w:val="18"/>
    </w:rPr>
  </w:style>
  <w:style w:type="paragraph" w:styleId="12">
    <w:name w:val="header"/>
    <w:basedOn w:val="1"/>
    <w:link w:val="22"/>
    <w:unhideWhenUsed/>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unhideWhenUsed/>
    <w:qFormat/>
    <w:uiPriority w:val="39"/>
    <w:pPr>
      <w:tabs>
        <w:tab w:val="right" w:leader="dot" w:pos="8296"/>
      </w:tabs>
      <w:spacing w:before="120" w:after="120" w:line="360" w:lineRule="auto"/>
      <w:jc w:val="left"/>
    </w:pPr>
    <w:rPr>
      <w:rFonts w:ascii="Calibri" w:hAnsi="Calibri"/>
      <w:b/>
      <w:bCs/>
      <w:caps/>
      <w:sz w:val="20"/>
      <w:szCs w:val="20"/>
    </w:rPr>
  </w:style>
  <w:style w:type="paragraph" w:styleId="14">
    <w:name w:val="Body Text Indent 3"/>
    <w:basedOn w:val="1"/>
    <w:link w:val="31"/>
    <w:semiHidden/>
    <w:qFormat/>
    <w:uiPriority w:val="0"/>
    <w:pPr>
      <w:spacing w:line="600" w:lineRule="exact"/>
      <w:ind w:firstLine="640" w:firstLineChars="200"/>
    </w:pPr>
    <w:rPr>
      <w:rFonts w:eastAsia="仿宋_GB2312"/>
      <w:sz w:val="32"/>
      <w:szCs w:val="32"/>
    </w:rPr>
  </w:style>
  <w:style w:type="paragraph" w:styleId="15">
    <w:name w:val="toc 2"/>
    <w:basedOn w:val="1"/>
    <w:next w:val="1"/>
    <w:autoRedefine/>
    <w:unhideWhenUsed/>
    <w:qFormat/>
    <w:uiPriority w:val="39"/>
    <w:pPr>
      <w:tabs>
        <w:tab w:val="right" w:leader="dot" w:pos="8296"/>
      </w:tabs>
      <w:ind w:left="280"/>
      <w:jc w:val="left"/>
    </w:pPr>
    <w:rPr>
      <w:rFonts w:ascii="Calibri" w:hAnsi="Calibri"/>
      <w:smallCaps/>
      <w:sz w:val="20"/>
      <w:szCs w:val="20"/>
    </w:rPr>
  </w:style>
  <w:style w:type="paragraph" w:styleId="16">
    <w:name w:val="Body Text 2"/>
    <w:basedOn w:val="1"/>
    <w:link w:val="33"/>
    <w:semiHidden/>
    <w:unhideWhenUsed/>
    <w:qFormat/>
    <w:uiPriority w:val="99"/>
    <w:pPr>
      <w:spacing w:after="120" w:line="480" w:lineRule="auto"/>
    </w:pPr>
  </w:style>
  <w:style w:type="paragraph" w:styleId="17">
    <w:name w:val="annotation subject"/>
    <w:basedOn w:val="6"/>
    <w:next w:val="6"/>
    <w:link w:val="40"/>
    <w:semiHidden/>
    <w:unhideWhenUsed/>
    <w:qFormat/>
    <w:uiPriority w:val="99"/>
    <w:rPr>
      <w:b/>
      <w:bCs/>
    </w:rPr>
  </w:style>
  <w:style w:type="character" w:styleId="20">
    <w:name w:val="Hyperlink"/>
    <w:basedOn w:val="19"/>
    <w:unhideWhenUsed/>
    <w:qFormat/>
    <w:uiPriority w:val="99"/>
    <w:rPr>
      <w:color w:val="0000FF"/>
      <w:u w:val="single"/>
    </w:rPr>
  </w:style>
  <w:style w:type="character" w:styleId="21">
    <w:name w:val="annotation reference"/>
    <w:basedOn w:val="19"/>
    <w:semiHidden/>
    <w:unhideWhenUsed/>
    <w:qFormat/>
    <w:uiPriority w:val="99"/>
    <w:rPr>
      <w:sz w:val="21"/>
      <w:szCs w:val="21"/>
    </w:rPr>
  </w:style>
  <w:style w:type="character" w:customStyle="1" w:styleId="22">
    <w:name w:val="页眉 Char"/>
    <w:basedOn w:val="19"/>
    <w:link w:val="12"/>
    <w:qFormat/>
    <w:uiPriority w:val="99"/>
    <w:rPr>
      <w:sz w:val="18"/>
      <w:szCs w:val="18"/>
    </w:rPr>
  </w:style>
  <w:style w:type="character" w:customStyle="1" w:styleId="23">
    <w:name w:val="页脚 Char"/>
    <w:basedOn w:val="19"/>
    <w:link w:val="11"/>
    <w:qFormat/>
    <w:uiPriority w:val="99"/>
    <w:rPr>
      <w:sz w:val="18"/>
      <w:szCs w:val="18"/>
    </w:rPr>
  </w:style>
  <w:style w:type="character" w:customStyle="1" w:styleId="24">
    <w:name w:val="标题 1 Char"/>
    <w:basedOn w:val="19"/>
    <w:link w:val="2"/>
    <w:qFormat/>
    <w:uiPriority w:val="9"/>
    <w:rPr>
      <w:rFonts w:ascii="Times New Roman" w:hAnsi="Times New Roman" w:eastAsia="宋体" w:cs="Times New Roman"/>
      <w:b/>
      <w:bCs/>
      <w:kern w:val="44"/>
      <w:sz w:val="28"/>
      <w:szCs w:val="44"/>
    </w:rPr>
  </w:style>
  <w:style w:type="character" w:customStyle="1" w:styleId="25">
    <w:name w:val="标题 2 Char"/>
    <w:basedOn w:val="19"/>
    <w:link w:val="3"/>
    <w:uiPriority w:val="9"/>
    <w:rPr>
      <w:rFonts w:ascii="Cambria" w:hAnsi="Cambria" w:eastAsia="宋体" w:cs="Times New Roman"/>
      <w:b/>
      <w:bCs/>
      <w:sz w:val="28"/>
      <w:szCs w:val="32"/>
    </w:rPr>
  </w:style>
  <w:style w:type="character" w:customStyle="1" w:styleId="26">
    <w:name w:val="标题 3 Char"/>
    <w:basedOn w:val="19"/>
    <w:link w:val="4"/>
    <w:uiPriority w:val="9"/>
    <w:rPr>
      <w:rFonts w:ascii="Times New Roman" w:hAnsi="Times New Roman" w:eastAsia="宋体" w:cs="Times New Roman"/>
      <w:b/>
      <w:bCs/>
      <w:sz w:val="28"/>
      <w:szCs w:val="32"/>
    </w:rPr>
  </w:style>
  <w:style w:type="character" w:customStyle="1" w:styleId="27">
    <w:name w:val="文档结构图 Char"/>
    <w:basedOn w:val="19"/>
    <w:link w:val="5"/>
    <w:semiHidden/>
    <w:uiPriority w:val="99"/>
    <w:rPr>
      <w:rFonts w:ascii="宋体" w:hAnsi="Times New Roman" w:eastAsia="宋体" w:cs="Times New Roman"/>
      <w:sz w:val="18"/>
      <w:szCs w:val="18"/>
    </w:rPr>
  </w:style>
  <w:style w:type="paragraph" w:styleId="28">
    <w:name w:val="List Paragraph"/>
    <w:basedOn w:val="1"/>
    <w:link w:val="32"/>
    <w:qFormat/>
    <w:uiPriority w:val="34"/>
    <w:pPr>
      <w:ind w:firstLine="420" w:firstLineChars="200"/>
    </w:pPr>
    <w:rPr>
      <w:kern w:val="0"/>
      <w:szCs w:val="20"/>
    </w:rPr>
  </w:style>
  <w:style w:type="character" w:customStyle="1" w:styleId="29">
    <w:name w:val="日期 Char"/>
    <w:basedOn w:val="19"/>
    <w:link w:val="9"/>
    <w:semiHidden/>
    <w:uiPriority w:val="99"/>
    <w:rPr>
      <w:rFonts w:ascii="Times New Roman" w:hAnsi="Times New Roman" w:eastAsia="宋体" w:cs="Times New Roman"/>
      <w:sz w:val="28"/>
    </w:rPr>
  </w:style>
  <w:style w:type="character" w:customStyle="1" w:styleId="30">
    <w:name w:val="正文文本 Char"/>
    <w:basedOn w:val="19"/>
    <w:link w:val="7"/>
    <w:semiHidden/>
    <w:qFormat/>
    <w:uiPriority w:val="0"/>
    <w:rPr>
      <w:rFonts w:ascii="Times New Roman" w:hAnsi="Times New Roman" w:eastAsia="仿宋_GB2312" w:cs="Times New Roman"/>
      <w:sz w:val="32"/>
      <w:szCs w:val="32"/>
    </w:rPr>
  </w:style>
  <w:style w:type="character" w:customStyle="1" w:styleId="31">
    <w:name w:val="正文文本缩进 3 Char"/>
    <w:basedOn w:val="19"/>
    <w:link w:val="14"/>
    <w:semiHidden/>
    <w:qFormat/>
    <w:uiPriority w:val="0"/>
    <w:rPr>
      <w:rFonts w:ascii="Times New Roman" w:hAnsi="Times New Roman" w:eastAsia="仿宋_GB2312" w:cs="Times New Roman"/>
      <w:sz w:val="32"/>
      <w:szCs w:val="32"/>
    </w:rPr>
  </w:style>
  <w:style w:type="character" w:customStyle="1" w:styleId="32">
    <w:name w:val="列出段落 Char"/>
    <w:link w:val="28"/>
    <w:qFormat/>
    <w:uiPriority w:val="34"/>
    <w:rPr>
      <w:rFonts w:ascii="Times New Roman" w:hAnsi="Times New Roman" w:eastAsia="宋体" w:cs="Times New Roman"/>
      <w:kern w:val="0"/>
      <w:sz w:val="28"/>
      <w:szCs w:val="20"/>
    </w:rPr>
  </w:style>
  <w:style w:type="character" w:customStyle="1" w:styleId="33">
    <w:name w:val="正文文本 2 Char"/>
    <w:basedOn w:val="19"/>
    <w:link w:val="16"/>
    <w:semiHidden/>
    <w:qFormat/>
    <w:uiPriority w:val="99"/>
    <w:rPr>
      <w:rFonts w:ascii="Times New Roman" w:hAnsi="Times New Roman" w:eastAsia="宋体" w:cs="Times New Roman"/>
      <w:sz w:val="28"/>
    </w:rPr>
  </w:style>
  <w:style w:type="paragraph" w:customStyle="1" w:styleId="34">
    <w:name w:val="Char Char Char1 Char Char Char Char Char Char Char"/>
    <w:basedOn w:val="1"/>
    <w:qFormat/>
    <w:uiPriority w:val="0"/>
    <w:rPr>
      <w:rFonts w:ascii="宋体" w:hAnsi="宋体" w:cs="宋体"/>
      <w:sz w:val="32"/>
      <w:szCs w:val="32"/>
    </w:rPr>
  </w:style>
  <w:style w:type="character" w:customStyle="1" w:styleId="35">
    <w:name w:val="批注框文本 Char"/>
    <w:basedOn w:val="19"/>
    <w:link w:val="10"/>
    <w:semiHidden/>
    <w:qFormat/>
    <w:uiPriority w:val="99"/>
    <w:rPr>
      <w:rFonts w:ascii="Times New Roman" w:hAnsi="Times New Roman" w:eastAsia="宋体" w:cs="Times New Roman"/>
      <w:sz w:val="18"/>
      <w:szCs w:val="18"/>
    </w:rPr>
  </w:style>
  <w:style w:type="paragraph" w:styleId="36">
    <w:name w:val="No Spacing"/>
    <w:link w:val="37"/>
    <w:qFormat/>
    <w:uiPriority w:val="1"/>
    <w:rPr>
      <w:rFonts w:ascii="Calibri" w:hAnsi="Calibri" w:eastAsia="宋体" w:cs="Times New Roman"/>
      <w:kern w:val="0"/>
      <w:sz w:val="22"/>
      <w:szCs w:val="22"/>
      <w:lang w:val="en-US" w:eastAsia="zh-CN" w:bidi="ar-SA"/>
    </w:rPr>
  </w:style>
  <w:style w:type="character" w:customStyle="1" w:styleId="37">
    <w:name w:val="无间隔 Char"/>
    <w:basedOn w:val="19"/>
    <w:link w:val="36"/>
    <w:qFormat/>
    <w:uiPriority w:val="1"/>
    <w:rPr>
      <w:rFonts w:ascii="Calibri" w:hAnsi="Calibri" w:eastAsia="宋体" w:cs="Times New Roman"/>
      <w:kern w:val="0"/>
      <w:sz w:val="22"/>
    </w:rPr>
  </w:style>
  <w:style w:type="paragraph" w:customStyle="1" w:styleId="38">
    <w:name w:val="TOC Heading"/>
    <w:basedOn w:val="2"/>
    <w:next w:val="1"/>
    <w:qFormat/>
    <w:uiPriority w:val="39"/>
    <w:pPr>
      <w:widowControl/>
      <w:spacing w:before="480" w:line="276" w:lineRule="auto"/>
      <w:jc w:val="left"/>
      <w:outlineLvl w:val="9"/>
    </w:pPr>
    <w:rPr>
      <w:rFonts w:ascii="Cambria" w:hAnsi="Cambria"/>
      <w:color w:val="365F91"/>
      <w:kern w:val="0"/>
      <w:szCs w:val="28"/>
    </w:rPr>
  </w:style>
  <w:style w:type="character" w:customStyle="1" w:styleId="39">
    <w:name w:val="批注文字 Char"/>
    <w:basedOn w:val="19"/>
    <w:link w:val="6"/>
    <w:semiHidden/>
    <w:uiPriority w:val="99"/>
    <w:rPr>
      <w:rFonts w:ascii="Times New Roman" w:hAnsi="Times New Roman" w:eastAsia="宋体" w:cs="Times New Roman"/>
      <w:sz w:val="28"/>
    </w:rPr>
  </w:style>
  <w:style w:type="character" w:customStyle="1" w:styleId="40">
    <w:name w:val="批注主题 Char"/>
    <w:basedOn w:val="39"/>
    <w:link w:val="17"/>
    <w:semiHidden/>
    <w:qFormat/>
    <w:uiPriority w:val="99"/>
    <w:rPr>
      <w:b/>
      <w:bCs/>
    </w:rPr>
  </w:style>
  <w:style w:type="paragraph" w:customStyle="1" w:styleId="41">
    <w:name w:val="Revision"/>
    <w:hidden/>
    <w:semiHidden/>
    <w:uiPriority w:val="99"/>
    <w:rPr>
      <w:rFonts w:ascii="Times New Roman" w:hAnsi="Times New Roman" w:eastAsia="宋体" w:cs="Times New Roman"/>
      <w:kern w:val="2"/>
      <w:sz w:val="28"/>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国家能源局</Company>
  <Pages>23</Pages>
  <Words>3254</Words>
  <Characters>3388</Characters>
  <Lines>68</Lines>
  <Paragraphs>19</Paragraphs>
  <TotalTime>18</TotalTime>
  <ScaleCrop>false</ScaleCrop>
  <LinksUpToDate>false</LinksUpToDate>
  <CharactersWithSpaces>3434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2016-10-31T02:08:00Z</dcterms:created>
  <dc:creator>Lenovo User</dc:creator>
  <cp:lastModifiedBy>夕颜</cp:lastModifiedBy>
  <cp:lastPrinted>2016-11-01T08:27:00Z</cp:lastPrinted>
  <dcterms:modified xsi:type="dcterms:W3CDTF">2025-12-16T01:54:07Z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eyJoZGlkIjoiYzY1MTE5MmRhYzMwMzNlYjQ5N2M1YWI4NjY2Y2UwZjEiLCJ1c2VySWQiOiI2NzU4NDYzNzMifQ==</vt:lpwstr>
  </property>
  <property fmtid="{D5CDD505-2E9C-101B-9397-08002B2CF9AE}" pid="3" name="KSOProductBuildVer">
    <vt:lpwstr>2052-12.1.0.24034</vt:lpwstr>
  </property>
  <property fmtid="{D5CDD505-2E9C-101B-9397-08002B2CF9AE}" pid="4" name="ICV">
    <vt:lpwstr>08D08F2ACB234FAEAEAF6A7233B1829E_12</vt:lpwstr>
  </property>
</Properties>
</file>